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BD" w:rsidRDefault="003724BD" w:rsidP="003724BD">
      <w:pPr>
        <w:jc w:val="right"/>
        <w:rPr>
          <w:rFonts w:ascii="Arial" w:hAnsi="Arial" w:cs="Arial"/>
          <w:b/>
        </w:rPr>
      </w:pPr>
      <w:r>
        <w:rPr>
          <w:noProof/>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3724BD" w:rsidRDefault="003724BD" w:rsidP="007E3918">
      <w:pPr>
        <w:rPr>
          <w:rFonts w:ascii="Arial" w:hAnsi="Arial" w:cs="Arial"/>
          <w:b/>
        </w:rPr>
      </w:pPr>
    </w:p>
    <w:p w:rsidR="007E3918" w:rsidRPr="006C4539" w:rsidRDefault="007E3918" w:rsidP="007E3918">
      <w:pPr>
        <w:rPr>
          <w:rFonts w:ascii="Arial" w:hAnsi="Arial" w:cs="Arial"/>
          <w:b/>
        </w:rPr>
      </w:pPr>
      <w:r w:rsidRPr="006C4539">
        <w:rPr>
          <w:rFonts w:ascii="Arial" w:hAnsi="Arial" w:cs="Arial"/>
          <w:b/>
        </w:rPr>
        <w:t xml:space="preserve">To:  The Housing Panel </w:t>
      </w:r>
    </w:p>
    <w:p w:rsidR="007E3918" w:rsidRPr="006C4539" w:rsidRDefault="007E3918" w:rsidP="007E3918">
      <w:pPr>
        <w:rPr>
          <w:rFonts w:ascii="Arial" w:hAnsi="Arial" w:cs="Arial"/>
          <w:b/>
        </w:rPr>
      </w:pPr>
    </w:p>
    <w:p w:rsidR="007E3918" w:rsidRDefault="007E3918" w:rsidP="007E3918">
      <w:pPr>
        <w:rPr>
          <w:rFonts w:ascii="Arial" w:hAnsi="Arial" w:cs="Arial"/>
          <w:b/>
        </w:rPr>
      </w:pPr>
      <w:r w:rsidRPr="006C4539">
        <w:rPr>
          <w:rFonts w:ascii="Arial" w:hAnsi="Arial" w:cs="Arial"/>
          <w:b/>
        </w:rPr>
        <w:t xml:space="preserve">Date:  9th March 2016 </w:t>
      </w:r>
    </w:p>
    <w:p w:rsidR="006C4539" w:rsidRPr="006C4539" w:rsidRDefault="006C4539" w:rsidP="007E3918">
      <w:pPr>
        <w:rPr>
          <w:rFonts w:ascii="Arial" w:hAnsi="Arial" w:cs="Arial"/>
          <w:b/>
        </w:rPr>
      </w:pPr>
    </w:p>
    <w:p w:rsidR="007E3918" w:rsidRPr="006C4539" w:rsidRDefault="007E3918" w:rsidP="007E3918">
      <w:pPr>
        <w:rPr>
          <w:rFonts w:ascii="Arial" w:hAnsi="Arial" w:cs="Arial"/>
          <w:b/>
        </w:rPr>
      </w:pPr>
      <w:r w:rsidRPr="006C4539">
        <w:rPr>
          <w:rFonts w:ascii="Arial" w:hAnsi="Arial" w:cs="Arial"/>
          <w:b/>
        </w:rPr>
        <w:t>Report of:  Allocations Manager</w:t>
      </w:r>
    </w:p>
    <w:p w:rsidR="007E3918" w:rsidRPr="006C4539" w:rsidRDefault="007E3918" w:rsidP="007E3918">
      <w:pPr>
        <w:rPr>
          <w:rFonts w:ascii="Arial" w:hAnsi="Arial" w:cs="Arial"/>
          <w:b/>
        </w:rPr>
      </w:pPr>
    </w:p>
    <w:p w:rsidR="007E3918" w:rsidRPr="006C4539" w:rsidRDefault="007E3918" w:rsidP="007E3918">
      <w:pPr>
        <w:rPr>
          <w:rFonts w:ascii="Arial" w:hAnsi="Arial" w:cs="Arial"/>
          <w:b/>
        </w:rPr>
      </w:pPr>
      <w:r w:rsidRPr="006C4539">
        <w:rPr>
          <w:rFonts w:ascii="Arial" w:hAnsi="Arial" w:cs="Arial"/>
          <w:b/>
        </w:rPr>
        <w:t>Title of the Report:  De-designation Review (2015/16)</w:t>
      </w:r>
    </w:p>
    <w:p w:rsidR="007E3918" w:rsidRPr="00AE1556" w:rsidRDefault="007E3918" w:rsidP="007E3918">
      <w:pPr>
        <w:rPr>
          <w:rFonts w:ascii="Arial" w:hAnsi="Arial" w:cs="Arial"/>
          <w:b/>
          <w:u w:val="single"/>
        </w:rPr>
      </w:pPr>
    </w:p>
    <w:p w:rsidR="007E3918" w:rsidRPr="00AE1556" w:rsidRDefault="007E3918" w:rsidP="00767AA4">
      <w:pPr>
        <w:pStyle w:val="Heading1"/>
        <w:pBdr>
          <w:top w:val="single" w:sz="4" w:space="1" w:color="auto"/>
          <w:left w:val="single" w:sz="4" w:space="4" w:color="auto"/>
          <w:bottom w:val="single" w:sz="4" w:space="0" w:color="auto"/>
          <w:right w:val="single" w:sz="4" w:space="4" w:color="auto"/>
        </w:pBdr>
        <w:jc w:val="center"/>
        <w:rPr>
          <w:rFonts w:cs="Arial"/>
          <w:u w:val="single"/>
        </w:rPr>
      </w:pPr>
    </w:p>
    <w:p w:rsidR="007E3918" w:rsidRPr="00AE1556" w:rsidRDefault="007E3918" w:rsidP="00767AA4">
      <w:pPr>
        <w:pStyle w:val="Heading1"/>
        <w:pBdr>
          <w:top w:val="single" w:sz="4" w:space="1" w:color="auto"/>
          <w:left w:val="single" w:sz="4" w:space="4" w:color="auto"/>
          <w:bottom w:val="single" w:sz="4" w:space="0" w:color="auto"/>
          <w:right w:val="single" w:sz="4" w:space="4" w:color="auto"/>
        </w:pBdr>
        <w:jc w:val="center"/>
        <w:rPr>
          <w:rFonts w:cs="Arial"/>
          <w:u w:val="single"/>
        </w:rPr>
      </w:pPr>
      <w:r w:rsidRPr="00AE1556">
        <w:rPr>
          <w:rFonts w:cs="Arial"/>
          <w:u w:val="single"/>
        </w:rPr>
        <w:t>Summary and Recommendations</w:t>
      </w:r>
    </w:p>
    <w:p w:rsidR="007E3918" w:rsidRPr="00AE1556" w:rsidRDefault="007E3918" w:rsidP="00767AA4">
      <w:pPr>
        <w:pBdr>
          <w:top w:val="single" w:sz="4" w:space="1" w:color="auto"/>
          <w:left w:val="single" w:sz="4" w:space="4" w:color="auto"/>
          <w:bottom w:val="single" w:sz="4" w:space="0" w:color="auto"/>
          <w:right w:val="single" w:sz="4" w:space="4" w:color="auto"/>
        </w:pBdr>
        <w:rPr>
          <w:rFonts w:ascii="Arial" w:hAnsi="Arial" w:cs="Arial"/>
        </w:rPr>
      </w:pPr>
    </w:p>
    <w:p w:rsidR="007E3918" w:rsidRPr="00AE1556" w:rsidRDefault="007E3918" w:rsidP="00767AA4">
      <w:pPr>
        <w:pBdr>
          <w:top w:val="single" w:sz="4" w:space="1" w:color="auto"/>
          <w:left w:val="single" w:sz="4" w:space="4" w:color="auto"/>
          <w:bottom w:val="single" w:sz="4" w:space="0" w:color="auto"/>
          <w:right w:val="single" w:sz="4" w:space="4" w:color="auto"/>
        </w:pBdr>
        <w:ind w:left="2880" w:hanging="2880"/>
        <w:rPr>
          <w:rFonts w:ascii="Arial" w:hAnsi="Arial" w:cs="Arial"/>
          <w:b/>
        </w:rPr>
      </w:pPr>
      <w:r w:rsidRPr="00AE1556">
        <w:rPr>
          <w:rFonts w:ascii="Arial" w:hAnsi="Arial" w:cs="Arial"/>
          <w:b/>
          <w:bCs/>
        </w:rPr>
        <w:t>Purpose of report</w:t>
      </w:r>
      <w:r w:rsidRPr="00AE1556">
        <w:rPr>
          <w:rFonts w:ascii="Arial" w:hAnsi="Arial" w:cs="Arial"/>
          <w:b/>
        </w:rPr>
        <w:t xml:space="preserve">:  </w:t>
      </w:r>
      <w:r w:rsidRPr="00AE1556">
        <w:rPr>
          <w:rFonts w:ascii="Arial" w:hAnsi="Arial" w:cs="Arial"/>
          <w:b/>
        </w:rPr>
        <w:tab/>
      </w:r>
      <w:r w:rsidRPr="00341008">
        <w:rPr>
          <w:rFonts w:ascii="Arial" w:hAnsi="Arial" w:cs="Arial"/>
        </w:rPr>
        <w:t>To review th</w:t>
      </w:r>
      <w:r w:rsidR="00341008">
        <w:rPr>
          <w:rFonts w:ascii="Arial" w:hAnsi="Arial" w:cs="Arial"/>
        </w:rPr>
        <w:t xml:space="preserve">e lettings to one-bedroom </w:t>
      </w:r>
      <w:r w:rsidRPr="00341008">
        <w:rPr>
          <w:rFonts w:ascii="Arial" w:hAnsi="Arial" w:cs="Arial"/>
        </w:rPr>
        <w:t xml:space="preserve">de-designated flats and bungalows during 2015/16 and to receive approval for the final phase of de-designation to continue in 2016/17 </w:t>
      </w:r>
    </w:p>
    <w:p w:rsidR="007E3918" w:rsidRPr="00AE1556" w:rsidRDefault="007E3918" w:rsidP="00767AA4">
      <w:pPr>
        <w:pBdr>
          <w:top w:val="single" w:sz="4" w:space="1" w:color="auto"/>
          <w:left w:val="single" w:sz="4" w:space="4" w:color="auto"/>
          <w:bottom w:val="single" w:sz="4" w:space="0" w:color="auto"/>
          <w:right w:val="single" w:sz="4" w:space="4" w:color="auto"/>
        </w:pBdr>
        <w:rPr>
          <w:rFonts w:ascii="Arial" w:hAnsi="Arial" w:cs="Arial"/>
        </w:rPr>
      </w:pP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r w:rsidRPr="00AE1556">
        <w:rPr>
          <w:rFonts w:ascii="Arial" w:hAnsi="Arial" w:cs="Arial"/>
        </w:rPr>
        <w:tab/>
      </w:r>
    </w:p>
    <w:p w:rsidR="007E3918" w:rsidRPr="00341008" w:rsidRDefault="007E3918" w:rsidP="00767AA4">
      <w:pPr>
        <w:pBdr>
          <w:top w:val="single" w:sz="4" w:space="1" w:color="auto"/>
          <w:left w:val="single" w:sz="4" w:space="4" w:color="auto"/>
          <w:bottom w:val="single" w:sz="4" w:space="0" w:color="auto"/>
          <w:right w:val="single" w:sz="4" w:space="4" w:color="auto"/>
        </w:pBdr>
        <w:rPr>
          <w:rFonts w:ascii="Arial" w:hAnsi="Arial" w:cs="Arial"/>
          <w:bCs/>
        </w:rPr>
      </w:pPr>
      <w:r w:rsidRPr="00AE1556">
        <w:rPr>
          <w:rFonts w:ascii="Arial" w:hAnsi="Arial" w:cs="Arial"/>
          <w:b/>
          <w:bCs/>
        </w:rPr>
        <w:t xml:space="preserve">Policy Framework:           </w:t>
      </w:r>
      <w:r w:rsidRPr="00341008">
        <w:rPr>
          <w:rFonts w:ascii="Arial" w:hAnsi="Arial" w:cs="Arial"/>
          <w:bCs/>
        </w:rPr>
        <w:t>Meeting Housing Needs</w:t>
      </w:r>
    </w:p>
    <w:p w:rsidR="007E3918" w:rsidRPr="00AE1556" w:rsidRDefault="007E3918" w:rsidP="00767AA4">
      <w:pPr>
        <w:pStyle w:val="Heading1"/>
        <w:pBdr>
          <w:top w:val="single" w:sz="4" w:space="1" w:color="auto"/>
          <w:left w:val="single" w:sz="4" w:space="4" w:color="auto"/>
          <w:bottom w:val="single" w:sz="4" w:space="0" w:color="auto"/>
          <w:right w:val="single" w:sz="4" w:space="4" w:color="auto"/>
        </w:pBdr>
        <w:rPr>
          <w:rFonts w:cs="Arial"/>
        </w:rPr>
      </w:pP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AE1556">
        <w:rPr>
          <w:rFonts w:ascii="Arial" w:hAnsi="Arial" w:cs="Arial"/>
          <w:b/>
        </w:rPr>
        <w:t xml:space="preserve">Recommendation(s):       </w:t>
      </w:r>
      <w:r w:rsidRPr="00341008">
        <w:rPr>
          <w:rFonts w:ascii="Arial" w:hAnsi="Arial" w:cs="Arial"/>
        </w:rPr>
        <w:t xml:space="preserve">(1) </w:t>
      </w:r>
      <w:proofErr w:type="gramStart"/>
      <w:r w:rsidRPr="00341008">
        <w:rPr>
          <w:rFonts w:ascii="Arial" w:hAnsi="Arial" w:cs="Arial"/>
        </w:rPr>
        <w:t>To</w:t>
      </w:r>
      <w:proofErr w:type="gramEnd"/>
      <w:r w:rsidRPr="00341008">
        <w:rPr>
          <w:rFonts w:ascii="Arial" w:hAnsi="Arial" w:cs="Arial"/>
        </w:rPr>
        <w:t xml:space="preserve"> note the lettings performance to</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proofErr w:type="gramStart"/>
      <w:r w:rsidRPr="00341008">
        <w:rPr>
          <w:rFonts w:ascii="Arial" w:hAnsi="Arial" w:cs="Arial"/>
        </w:rPr>
        <w:t>de-designated</w:t>
      </w:r>
      <w:proofErr w:type="gramEnd"/>
      <w:r w:rsidRPr="00341008">
        <w:rPr>
          <w:rFonts w:ascii="Arial" w:hAnsi="Arial" w:cs="Arial"/>
        </w:rPr>
        <w:t xml:space="preserve"> properties during 2015/16</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r w:rsidR="00FD650B" w:rsidRPr="00341008">
        <w:rPr>
          <w:rFonts w:ascii="Arial" w:hAnsi="Arial" w:cs="Arial"/>
        </w:rPr>
        <w:t xml:space="preserve">(2) </w:t>
      </w:r>
      <w:r w:rsidRPr="00341008">
        <w:rPr>
          <w:rFonts w:ascii="Arial" w:hAnsi="Arial" w:cs="Arial"/>
        </w:rPr>
        <w:t>Subject to the approval by the City</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Executive Board of the proposed </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Local Lettings Plan for the one-bedroom</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proofErr w:type="gramStart"/>
      <w:r w:rsidRPr="00341008">
        <w:rPr>
          <w:rFonts w:ascii="Arial" w:hAnsi="Arial" w:cs="Arial"/>
        </w:rPr>
        <w:t>flats</w:t>
      </w:r>
      <w:proofErr w:type="gramEnd"/>
      <w:r w:rsidRPr="00341008">
        <w:rPr>
          <w:rFonts w:ascii="Arial" w:hAnsi="Arial" w:cs="Arial"/>
        </w:rPr>
        <w:t xml:space="preserve"> at Salter Close and Whitehouse Road</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proofErr w:type="gramStart"/>
      <w:r w:rsidRPr="00341008">
        <w:rPr>
          <w:rFonts w:ascii="Arial" w:hAnsi="Arial" w:cs="Arial"/>
        </w:rPr>
        <w:t>that</w:t>
      </w:r>
      <w:proofErr w:type="gramEnd"/>
      <w:r w:rsidRPr="00341008">
        <w:rPr>
          <w:rFonts w:ascii="Arial" w:hAnsi="Arial" w:cs="Arial"/>
        </w:rPr>
        <w:t xml:space="preserve"> these flats are also de-designated in</w:t>
      </w:r>
    </w:p>
    <w:p w:rsidR="007E3918" w:rsidRPr="00341008"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2016</w:t>
      </w:r>
    </w:p>
    <w:p w:rsidR="00FD650B" w:rsidRPr="00341008"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p>
    <w:p w:rsidR="00FD650B" w:rsidRPr="00341008"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(3) To </w:t>
      </w:r>
      <w:r w:rsidR="00767AA4">
        <w:rPr>
          <w:rFonts w:ascii="Arial" w:hAnsi="Arial" w:cs="Arial"/>
        </w:rPr>
        <w:t xml:space="preserve">note </w:t>
      </w:r>
      <w:r w:rsidRPr="00341008">
        <w:rPr>
          <w:rFonts w:ascii="Arial" w:hAnsi="Arial" w:cs="Arial"/>
        </w:rPr>
        <w:t xml:space="preserve">that the other flats listed in </w:t>
      </w:r>
    </w:p>
    <w:p w:rsidR="00FD650B" w:rsidRPr="00341008"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rPr>
      </w:pPr>
      <w:r w:rsidRPr="00341008">
        <w:rPr>
          <w:rFonts w:ascii="Arial" w:hAnsi="Arial" w:cs="Arial"/>
        </w:rPr>
        <w:t xml:space="preserve">                                                 </w:t>
      </w:r>
      <w:proofErr w:type="gramStart"/>
      <w:r w:rsidRPr="00341008">
        <w:rPr>
          <w:rFonts w:ascii="Arial" w:hAnsi="Arial" w:cs="Arial"/>
        </w:rPr>
        <w:t>Appendix 1 are</w:t>
      </w:r>
      <w:proofErr w:type="gramEnd"/>
      <w:r w:rsidR="00E7505F">
        <w:rPr>
          <w:rFonts w:ascii="Arial" w:hAnsi="Arial" w:cs="Arial"/>
        </w:rPr>
        <w:t xml:space="preserve"> to be</w:t>
      </w:r>
      <w:r w:rsidRPr="00341008">
        <w:rPr>
          <w:rFonts w:ascii="Arial" w:hAnsi="Arial" w:cs="Arial"/>
        </w:rPr>
        <w:t xml:space="preserve"> de-designated from 1/4/16</w:t>
      </w: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rPr>
      </w:pPr>
    </w:p>
    <w:p w:rsidR="007E3918" w:rsidRPr="00AE1556" w:rsidRDefault="007E3918"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FD650B" w:rsidRPr="00AE1556" w:rsidRDefault="00FD650B" w:rsidP="00767AA4">
      <w:pPr>
        <w:pBdr>
          <w:top w:val="single" w:sz="4" w:space="1" w:color="auto"/>
          <w:left w:val="single" w:sz="4" w:space="4" w:color="auto"/>
          <w:bottom w:val="single" w:sz="4" w:space="0" w:color="auto"/>
          <w:right w:val="single" w:sz="4" w:space="4" w:color="auto"/>
        </w:pBdr>
        <w:tabs>
          <w:tab w:val="left" w:pos="3048"/>
        </w:tabs>
        <w:rPr>
          <w:rFonts w:ascii="Arial" w:hAnsi="Arial" w:cs="Arial"/>
          <w:b/>
          <w:u w:val="single"/>
        </w:rPr>
      </w:pPr>
    </w:p>
    <w:p w:rsidR="007E3918" w:rsidRPr="00AE1556" w:rsidRDefault="007E3918" w:rsidP="007E3918">
      <w:pPr>
        <w:rPr>
          <w:rFonts w:ascii="Arial" w:hAnsi="Arial" w:cs="Arial"/>
          <w:b/>
          <w:u w:val="single"/>
        </w:rPr>
      </w:pPr>
    </w:p>
    <w:p w:rsidR="007E3918" w:rsidRPr="00AE1556" w:rsidRDefault="007E3918" w:rsidP="007E3918">
      <w:pPr>
        <w:rPr>
          <w:rFonts w:ascii="Arial" w:hAnsi="Arial" w:cs="Arial"/>
          <w:b/>
          <w:u w:val="single"/>
        </w:rPr>
      </w:pPr>
    </w:p>
    <w:p w:rsidR="007E3918" w:rsidRPr="00AE1556" w:rsidRDefault="007E3918" w:rsidP="007E3918">
      <w:pPr>
        <w:rPr>
          <w:rFonts w:ascii="Arial" w:hAnsi="Arial" w:cs="Arial"/>
          <w:b/>
          <w:u w:val="single"/>
        </w:rPr>
      </w:pPr>
    </w:p>
    <w:p w:rsidR="007E3918" w:rsidRPr="00AE1556" w:rsidRDefault="007E3918" w:rsidP="007E3918">
      <w:pPr>
        <w:rPr>
          <w:rFonts w:ascii="Arial" w:hAnsi="Arial" w:cs="Arial"/>
          <w:b/>
          <w:i/>
        </w:rPr>
      </w:pPr>
      <w:r w:rsidRPr="00AE1556">
        <w:rPr>
          <w:rFonts w:ascii="Arial" w:hAnsi="Arial" w:cs="Arial"/>
          <w:b/>
        </w:rPr>
        <w:t>Appendix I:  Properties due to be de-designated</w:t>
      </w:r>
      <w:r w:rsidR="00120003" w:rsidRPr="00AE1556">
        <w:rPr>
          <w:rFonts w:ascii="Arial" w:hAnsi="Arial" w:cs="Arial"/>
          <w:b/>
        </w:rPr>
        <w:t xml:space="preserve"> from 1/4/16</w:t>
      </w:r>
    </w:p>
    <w:p w:rsidR="007E3918" w:rsidRPr="00AE1556" w:rsidRDefault="007E3918" w:rsidP="007E3918">
      <w:pPr>
        <w:rPr>
          <w:rFonts w:ascii="Arial" w:hAnsi="Arial" w:cs="Arial"/>
          <w:b/>
          <w:u w:val="single"/>
        </w:rPr>
      </w:pPr>
      <w:r w:rsidRPr="00AE1556">
        <w:rPr>
          <w:rFonts w:ascii="Arial" w:hAnsi="Arial" w:cs="Arial"/>
          <w:b/>
          <w:u w:val="single"/>
        </w:rPr>
        <w:br w:type="page"/>
      </w:r>
      <w:r w:rsidRPr="00AE1556">
        <w:rPr>
          <w:rFonts w:ascii="Arial" w:hAnsi="Arial" w:cs="Arial"/>
          <w:b/>
          <w:u w:val="single"/>
        </w:rPr>
        <w:lastRenderedPageBreak/>
        <w:t>Background</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 xml:space="preserve">In October 2009, the Communities and Partnership Scrutiny Committee agreed to set up a Panel to consider the number and type of properties that were currently designated to only be let to those persons aged 40 years and over.  The scope of the Panel excluded sheltered accommodation, which has been reviewed separately.  The review was necessitated by the large, and growing, mismatch between the low amount of one bedroom council accommodation that was available to singles and couples under 40 years of age, and the large number of such households in housing need. </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 xml:space="preserve">Following approval by the City Executive Board (CEB) on 12/1/11 of the phased implementation of the de-designation of most of the Council’s designated elderly properties over a 5 year period; this began on 1/4/11.  </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In order to attempt to minimise the potential impact on any existing tenants the CEB approved the request for the process to be reviewed annually.   To consider any impact of the de-designation process, and to recommend whether the de-designated phasing of properties in Years 2 to 5 should be brought forward (to de-designate at a fa</w:t>
      </w:r>
      <w:r w:rsidR="00E7505F">
        <w:rPr>
          <w:rFonts w:ascii="Arial" w:hAnsi="Arial" w:cs="Arial"/>
        </w:rPr>
        <w:t>ster pace) or be delayed (to be</w:t>
      </w:r>
      <w:bookmarkStart w:id="0" w:name="_GoBack"/>
      <w:bookmarkEnd w:id="0"/>
      <w:r w:rsidR="00506FD4" w:rsidRPr="00AE1556">
        <w:rPr>
          <w:rFonts w:ascii="Arial" w:hAnsi="Arial" w:cs="Arial"/>
        </w:rPr>
        <w:t xml:space="preserve"> </w:t>
      </w:r>
      <w:r w:rsidRPr="00AE1556">
        <w:rPr>
          <w:rFonts w:ascii="Arial" w:hAnsi="Arial" w:cs="Arial"/>
        </w:rPr>
        <w:t>de-designate at slower pace).</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The reviewing group is to include councillors and tenant representatives, working with officers, to objectively review new age profiles in the properties/blocks concerned; allocations made to de-designated blocks over the past year; whether those tenancies have been sustained without issue; and any specific actions that have been required in order for impacts to be mitigated.  The review group can report to the Communities and Partnership Scrutiny Committee should it wish to receive such a report.</w:t>
      </w:r>
    </w:p>
    <w:p w:rsidR="007E3918" w:rsidRPr="00AE1556" w:rsidRDefault="007E3918" w:rsidP="007E3918">
      <w:pPr>
        <w:rPr>
          <w:rFonts w:ascii="Arial" w:hAnsi="Arial" w:cs="Arial"/>
        </w:rPr>
      </w:pPr>
    </w:p>
    <w:p w:rsidR="007E3918" w:rsidRPr="00AE1556" w:rsidRDefault="007E3918" w:rsidP="007E3918">
      <w:pPr>
        <w:rPr>
          <w:rFonts w:ascii="Arial" w:hAnsi="Arial" w:cs="Arial"/>
          <w:b/>
          <w:u w:val="single"/>
        </w:rPr>
      </w:pPr>
      <w:r w:rsidRPr="00AE1556">
        <w:rPr>
          <w:rFonts w:ascii="Arial" w:hAnsi="Arial" w:cs="Arial"/>
          <w:b/>
          <w:u w:val="single"/>
        </w:rPr>
        <w:t>Summary of the Changes Introduced by De-Designation</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 xml:space="preserve">No existing tenants in any of the blocks of flats or bungalows affected will be asked to move as a result of the changes introduced.  Only properties becoming available to re-let will be affected by the changes. </w:t>
      </w:r>
    </w:p>
    <w:p w:rsidR="007E3918" w:rsidRPr="00AE1556" w:rsidRDefault="007E3918" w:rsidP="007E3918">
      <w:pPr>
        <w:rPr>
          <w:rFonts w:ascii="Arial" w:hAnsi="Arial" w:cs="Arial"/>
        </w:rPr>
      </w:pPr>
    </w:p>
    <w:p w:rsidR="007E3918" w:rsidRPr="00AE1556" w:rsidRDefault="007E3918" w:rsidP="007E3918">
      <w:pPr>
        <w:rPr>
          <w:rFonts w:ascii="Arial" w:hAnsi="Arial" w:cs="Arial"/>
          <w:b/>
          <w:u w:val="single"/>
        </w:rPr>
      </w:pPr>
      <w:r w:rsidRPr="00AE1556">
        <w:rPr>
          <w:rFonts w:ascii="Arial" w:hAnsi="Arial" w:cs="Arial"/>
          <w:b/>
          <w:u w:val="single"/>
        </w:rPr>
        <w:t xml:space="preserve">Bungalows </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The 267 bungalows formerly designated as elderly and restricted to applicants aged 40 years or older w</w:t>
      </w:r>
      <w:r w:rsidR="000345E6">
        <w:rPr>
          <w:rFonts w:ascii="Arial" w:hAnsi="Arial" w:cs="Arial"/>
        </w:rPr>
        <w:t>ill be</w:t>
      </w:r>
      <w:r w:rsidRPr="00AE1556">
        <w:rPr>
          <w:rFonts w:ascii="Arial" w:hAnsi="Arial" w:cs="Arial"/>
        </w:rPr>
        <w:t xml:space="preserve"> allocated as follows from 1/4/11:</w:t>
      </w:r>
    </w:p>
    <w:p w:rsidR="007E3918" w:rsidRPr="00AE1556" w:rsidRDefault="007E3918" w:rsidP="007E3918">
      <w:pPr>
        <w:rPr>
          <w:rFonts w:ascii="Arial" w:hAnsi="Arial" w:cs="Arial"/>
        </w:rPr>
      </w:pPr>
    </w:p>
    <w:p w:rsidR="007E3918" w:rsidRPr="00AE1556" w:rsidRDefault="007E3918" w:rsidP="007E3918">
      <w:pPr>
        <w:numPr>
          <w:ilvl w:val="0"/>
          <w:numId w:val="1"/>
        </w:numPr>
        <w:rPr>
          <w:rFonts w:ascii="Arial" w:hAnsi="Arial" w:cs="Arial"/>
        </w:rPr>
      </w:pPr>
      <w:r w:rsidRPr="00AE1556">
        <w:rPr>
          <w:rFonts w:ascii="Arial" w:hAnsi="Arial" w:cs="Arial"/>
        </w:rPr>
        <w:t xml:space="preserve">First preference to anyone requiring a level access property (mobility 1) regardless of age.  </w:t>
      </w:r>
    </w:p>
    <w:p w:rsidR="007E3918" w:rsidRPr="00AE1556" w:rsidRDefault="007E3918" w:rsidP="007E3918">
      <w:pPr>
        <w:ind w:left="360"/>
        <w:rPr>
          <w:rFonts w:ascii="Arial" w:hAnsi="Arial" w:cs="Arial"/>
        </w:rPr>
      </w:pPr>
    </w:p>
    <w:p w:rsidR="007E3918" w:rsidRPr="00AE1556" w:rsidRDefault="007E3918" w:rsidP="007E3918">
      <w:pPr>
        <w:numPr>
          <w:ilvl w:val="0"/>
          <w:numId w:val="1"/>
        </w:numPr>
        <w:rPr>
          <w:rFonts w:ascii="Arial" w:hAnsi="Arial" w:cs="Arial"/>
        </w:rPr>
      </w:pPr>
      <w:r w:rsidRPr="00AE1556">
        <w:rPr>
          <w:rFonts w:ascii="Arial" w:hAnsi="Arial" w:cs="Arial"/>
        </w:rPr>
        <w:t xml:space="preserve">If there is no-one suitable, in any band, then the second preference will be to anyone suitable over 55 years of age.  </w:t>
      </w:r>
    </w:p>
    <w:p w:rsidR="007E3918" w:rsidRPr="00AE1556" w:rsidRDefault="007E3918" w:rsidP="007E3918">
      <w:pPr>
        <w:ind w:left="360"/>
        <w:rPr>
          <w:rFonts w:ascii="Arial" w:hAnsi="Arial" w:cs="Arial"/>
        </w:rPr>
      </w:pPr>
    </w:p>
    <w:p w:rsidR="007E3918" w:rsidRPr="00AE1556" w:rsidRDefault="007E3918" w:rsidP="007E3918">
      <w:pPr>
        <w:numPr>
          <w:ilvl w:val="0"/>
          <w:numId w:val="1"/>
        </w:numPr>
        <w:rPr>
          <w:rFonts w:ascii="Arial" w:hAnsi="Arial" w:cs="Arial"/>
          <w:b/>
          <w:u w:val="single"/>
        </w:rPr>
      </w:pPr>
      <w:r w:rsidRPr="00AE1556">
        <w:rPr>
          <w:rFonts w:ascii="Arial" w:hAnsi="Arial" w:cs="Arial"/>
        </w:rPr>
        <w:t>If this does not result in a successful letting, the property will be          re-advertised without any eligibility restriction on mobility needs or on age.</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lastRenderedPageBreak/>
        <w:t>This changed on 12/12/13 following the introduction of the new Allocations Scheme approved by the CEB and Full Council.  Bungalows are now normally only be allocated to:</w:t>
      </w:r>
    </w:p>
    <w:p w:rsidR="007E3918" w:rsidRPr="00AE1556" w:rsidRDefault="007E3918" w:rsidP="007E3918">
      <w:pPr>
        <w:rPr>
          <w:rFonts w:ascii="Arial" w:hAnsi="Arial" w:cs="Arial"/>
        </w:rPr>
      </w:pPr>
    </w:p>
    <w:p w:rsidR="007E3918" w:rsidRPr="00AE1556" w:rsidRDefault="007E3918" w:rsidP="007E3918">
      <w:pPr>
        <w:numPr>
          <w:ilvl w:val="0"/>
          <w:numId w:val="2"/>
        </w:numPr>
        <w:ind w:left="1080"/>
        <w:rPr>
          <w:rFonts w:ascii="Arial" w:hAnsi="Arial" w:cs="Arial"/>
        </w:rPr>
      </w:pPr>
      <w:r w:rsidRPr="00AE1556">
        <w:rPr>
          <w:rFonts w:ascii="Arial" w:hAnsi="Arial" w:cs="Arial"/>
        </w:rPr>
        <w:t>Applicants aged 55 years or older</w:t>
      </w:r>
    </w:p>
    <w:p w:rsidR="007E3918" w:rsidRPr="00AE1556" w:rsidRDefault="007E3918" w:rsidP="007E3918">
      <w:pPr>
        <w:ind w:left="360"/>
        <w:rPr>
          <w:rFonts w:ascii="Arial" w:hAnsi="Arial" w:cs="Arial"/>
        </w:rPr>
      </w:pPr>
    </w:p>
    <w:p w:rsidR="007E3918" w:rsidRPr="00AE1556" w:rsidRDefault="007E3918" w:rsidP="007E3918">
      <w:pPr>
        <w:numPr>
          <w:ilvl w:val="0"/>
          <w:numId w:val="2"/>
        </w:numPr>
        <w:ind w:left="1080"/>
        <w:rPr>
          <w:rFonts w:ascii="Arial" w:hAnsi="Arial" w:cs="Arial"/>
        </w:rPr>
      </w:pPr>
      <w:r w:rsidRPr="00AE1556">
        <w:rPr>
          <w:rFonts w:ascii="Arial" w:hAnsi="Arial" w:cs="Arial"/>
        </w:rPr>
        <w:t xml:space="preserve">Applicants under 55 who have been assessed by the Housing Needs Team as requiring a ground floor level access property (or an adapted property if the bungalow is adapted) </w:t>
      </w:r>
    </w:p>
    <w:p w:rsidR="007E3918" w:rsidRPr="00AE1556" w:rsidRDefault="007E3918" w:rsidP="007E3918">
      <w:pPr>
        <w:ind w:left="360"/>
        <w:rPr>
          <w:rFonts w:ascii="Arial" w:hAnsi="Arial" w:cs="Arial"/>
        </w:rPr>
      </w:pPr>
    </w:p>
    <w:p w:rsidR="007E3918" w:rsidRPr="00AE1556" w:rsidRDefault="007E3918" w:rsidP="007E3918">
      <w:pPr>
        <w:numPr>
          <w:ilvl w:val="0"/>
          <w:numId w:val="2"/>
        </w:numPr>
        <w:ind w:left="1080"/>
        <w:rPr>
          <w:rFonts w:ascii="Arial" w:hAnsi="Arial" w:cs="Arial"/>
        </w:rPr>
      </w:pPr>
      <w:r w:rsidRPr="00AE1556">
        <w:rPr>
          <w:rFonts w:ascii="Arial" w:hAnsi="Arial" w:cs="Arial"/>
        </w:rPr>
        <w:t xml:space="preserve">Existing Council or Registered Provider tenants on the Transfer List seeking to downsize from their current accommodation. </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When allocating bungalows preference is given to housing applicants requiring, or who would benefit from, a ground floor property (or adaptations if the bungalow has for example a level access shower, wet room or is suitable for a wheelchair user).</w:t>
      </w:r>
    </w:p>
    <w:p w:rsidR="007E3918" w:rsidRPr="00AE1556" w:rsidRDefault="007E3918">
      <w:pPr>
        <w:rPr>
          <w:rFonts w:ascii="Arial" w:hAnsi="Arial" w:cs="Arial"/>
          <w:b/>
          <w:u w:val="single"/>
        </w:rPr>
      </w:pPr>
    </w:p>
    <w:p w:rsidR="007E3918" w:rsidRPr="00AE1556" w:rsidRDefault="007E3918" w:rsidP="007E3918">
      <w:pPr>
        <w:rPr>
          <w:rFonts w:ascii="Arial" w:hAnsi="Arial" w:cs="Arial"/>
          <w:b/>
          <w:u w:val="single"/>
        </w:rPr>
      </w:pPr>
      <w:r w:rsidRPr="00AE1556">
        <w:rPr>
          <w:rFonts w:ascii="Arial" w:hAnsi="Arial" w:cs="Arial"/>
          <w:b/>
          <w:u w:val="single"/>
        </w:rPr>
        <w:t xml:space="preserve">Flats </w:t>
      </w:r>
    </w:p>
    <w:p w:rsidR="007E3918" w:rsidRPr="00AE1556" w:rsidRDefault="007E3918" w:rsidP="007E3918">
      <w:pPr>
        <w:rPr>
          <w:rFonts w:ascii="Arial" w:hAnsi="Arial" w:cs="Arial"/>
          <w:b/>
          <w:u w:val="single"/>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A total of 777 flats (designated elderly 1 and 2) formerly restricted to applicants aged 40 years or older would be incrementally de-designated over a five year period (or a longer if required), in accordance with the phasing shown in the report.  This phasing represented the de-designation of properties, considered to have the lowest risk of any resulting housing management issues first.</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 xml:space="preserve">At the end of the 5th year (originally this planned to be 31/3/16) </w:t>
      </w:r>
      <w:r w:rsidR="00120003" w:rsidRPr="00AE1556">
        <w:rPr>
          <w:rFonts w:ascii="Arial" w:hAnsi="Arial" w:cs="Arial"/>
        </w:rPr>
        <w:t>this would</w:t>
      </w:r>
      <w:r w:rsidRPr="00AE1556">
        <w:rPr>
          <w:rFonts w:ascii="Arial" w:hAnsi="Arial" w:cs="Arial"/>
        </w:rPr>
        <w:t xml:space="preserve"> leave 185 Designated Elderly Two units of accommodation, at the end of the programme.  These properties will continue to be allocated to suitable single people or couples aged 55 years or older, in the first instance (or if there is no-one suitable, in any band, then the second preference will be to anyone suitable over 40 years of age).</w:t>
      </w:r>
    </w:p>
    <w:p w:rsidR="007E3918" w:rsidRPr="00AE1556" w:rsidRDefault="007E3918" w:rsidP="007E3918">
      <w:pPr>
        <w:rPr>
          <w:rFonts w:ascii="Arial" w:hAnsi="Arial" w:cs="Arial"/>
        </w:rPr>
      </w:pPr>
    </w:p>
    <w:p w:rsidR="007E3918" w:rsidRPr="00AE1556" w:rsidRDefault="007E3918" w:rsidP="007E3918">
      <w:pPr>
        <w:rPr>
          <w:rFonts w:ascii="Arial" w:hAnsi="Arial" w:cs="Arial"/>
          <w:b/>
          <w:u w:val="single"/>
        </w:rPr>
      </w:pPr>
      <w:r w:rsidRPr="00AE1556">
        <w:rPr>
          <w:rFonts w:ascii="Arial" w:hAnsi="Arial" w:cs="Arial"/>
          <w:b/>
          <w:u w:val="single"/>
        </w:rPr>
        <w:t xml:space="preserve">Review of Lettings from 1/4/15 to 31/1/16 </w:t>
      </w:r>
    </w:p>
    <w:p w:rsidR="007E3918" w:rsidRPr="00AE1556" w:rsidRDefault="007E3918" w:rsidP="007E3918">
      <w:pPr>
        <w:rPr>
          <w:rFonts w:ascii="Arial" w:hAnsi="Arial" w:cs="Arial"/>
        </w:rPr>
      </w:pPr>
    </w:p>
    <w:p w:rsidR="007E3918" w:rsidRPr="00AE1556" w:rsidRDefault="007E3918" w:rsidP="007E3918">
      <w:pPr>
        <w:pStyle w:val="ListParagraph"/>
        <w:numPr>
          <w:ilvl w:val="0"/>
          <w:numId w:val="3"/>
        </w:numPr>
        <w:rPr>
          <w:rFonts w:ascii="Arial" w:hAnsi="Arial" w:cs="Arial"/>
        </w:rPr>
      </w:pPr>
      <w:r w:rsidRPr="00AE1556">
        <w:rPr>
          <w:rFonts w:ascii="Arial" w:hAnsi="Arial" w:cs="Arial"/>
        </w:rPr>
        <w:t>From 1/4/15 to 31/1/16 a total of 43 formerly designated elderly flats and    bungalows were re-let. The</w:t>
      </w:r>
      <w:r w:rsidR="00506FD4" w:rsidRPr="00AE1556">
        <w:rPr>
          <w:rFonts w:ascii="Arial" w:hAnsi="Arial" w:cs="Arial"/>
        </w:rPr>
        <w:t xml:space="preserve">se were </w:t>
      </w:r>
      <w:r w:rsidRPr="00AE1556">
        <w:rPr>
          <w:rFonts w:ascii="Arial" w:hAnsi="Arial" w:cs="Arial"/>
        </w:rPr>
        <w:t>12 one-bedroom bungalows</w:t>
      </w:r>
      <w:r w:rsidR="00506FD4" w:rsidRPr="00AE1556">
        <w:rPr>
          <w:rFonts w:ascii="Arial" w:hAnsi="Arial" w:cs="Arial"/>
        </w:rPr>
        <w:t xml:space="preserve"> and</w:t>
      </w:r>
      <w:r w:rsidRPr="00AE1556">
        <w:rPr>
          <w:rFonts w:ascii="Arial" w:hAnsi="Arial" w:cs="Arial"/>
        </w:rPr>
        <w:t xml:space="preserve"> 31</w:t>
      </w:r>
      <w:r w:rsidR="00607683">
        <w:rPr>
          <w:rFonts w:ascii="Arial" w:hAnsi="Arial" w:cs="Arial"/>
        </w:rPr>
        <w:t xml:space="preserve"> </w:t>
      </w:r>
      <w:r w:rsidRPr="00AE1556">
        <w:rPr>
          <w:rFonts w:ascii="Arial" w:hAnsi="Arial" w:cs="Arial"/>
        </w:rPr>
        <w:t xml:space="preserve">one-bedroom flats. Around 40% have been let to existing Council Tenants or Registered Provider (Housing Association) tenants within the City on the Transfer List, 50% to </w:t>
      </w:r>
      <w:r w:rsidR="00506FD4" w:rsidRPr="00AE1556">
        <w:rPr>
          <w:rFonts w:ascii="Arial" w:hAnsi="Arial" w:cs="Arial"/>
        </w:rPr>
        <w:t xml:space="preserve">housing </w:t>
      </w:r>
      <w:r w:rsidRPr="00AE1556">
        <w:rPr>
          <w:rFonts w:ascii="Arial" w:hAnsi="Arial" w:cs="Arial"/>
        </w:rPr>
        <w:t xml:space="preserve">applicants on the General Register List in housing need and 10% to the Homeless List.  </w:t>
      </w:r>
    </w:p>
    <w:p w:rsidR="007E3918" w:rsidRPr="00AE1556" w:rsidRDefault="007E3918" w:rsidP="007E3918">
      <w:pPr>
        <w:rPr>
          <w:rFonts w:ascii="Arial" w:hAnsi="Arial" w:cs="Arial"/>
        </w:rPr>
      </w:pPr>
    </w:p>
    <w:p w:rsidR="007E3918" w:rsidRPr="00AE1556" w:rsidRDefault="007E3918" w:rsidP="007E3918">
      <w:pPr>
        <w:rPr>
          <w:rFonts w:ascii="Arial" w:hAnsi="Arial" w:cs="Arial"/>
        </w:rPr>
      </w:pPr>
    </w:p>
    <w:p w:rsidR="007E3918" w:rsidRPr="00AE1556" w:rsidRDefault="007E3918">
      <w:pPr>
        <w:rPr>
          <w:rFonts w:ascii="Arial" w:hAnsi="Arial" w:cs="Arial"/>
          <w:b/>
          <w:u w:val="single"/>
        </w:rPr>
      </w:pPr>
      <w:r w:rsidRPr="00AE1556">
        <w:rPr>
          <w:rFonts w:ascii="Arial" w:hAnsi="Arial" w:cs="Arial"/>
          <w:b/>
          <w:u w:val="single"/>
        </w:rPr>
        <w:br w:type="page"/>
      </w:r>
    </w:p>
    <w:p w:rsidR="007E3918" w:rsidRPr="00AE1556" w:rsidRDefault="007E3918" w:rsidP="007E3918">
      <w:pPr>
        <w:rPr>
          <w:rFonts w:ascii="Arial" w:hAnsi="Arial" w:cs="Arial"/>
          <w:b/>
          <w:u w:val="single"/>
        </w:rPr>
      </w:pPr>
      <w:r w:rsidRPr="00AE1556">
        <w:rPr>
          <w:rFonts w:ascii="Arial" w:hAnsi="Arial" w:cs="Arial"/>
          <w:b/>
          <w:u w:val="single"/>
        </w:rPr>
        <w:lastRenderedPageBreak/>
        <w:t>Bungalows</w:t>
      </w:r>
    </w:p>
    <w:p w:rsidR="007E3918" w:rsidRPr="00AE1556" w:rsidRDefault="007E3918" w:rsidP="007E3918">
      <w:pPr>
        <w:rPr>
          <w:rFonts w:ascii="Arial" w:hAnsi="Arial" w:cs="Arial"/>
          <w:b/>
        </w:rPr>
      </w:pPr>
    </w:p>
    <w:p w:rsidR="007E3918" w:rsidRPr="00AE1556" w:rsidRDefault="007E3918" w:rsidP="00506FD4">
      <w:pPr>
        <w:pStyle w:val="ListParagraph"/>
        <w:numPr>
          <w:ilvl w:val="0"/>
          <w:numId w:val="3"/>
        </w:numPr>
        <w:rPr>
          <w:rFonts w:ascii="Arial" w:hAnsi="Arial" w:cs="Arial"/>
        </w:rPr>
      </w:pPr>
      <w:r w:rsidRPr="00AE1556">
        <w:rPr>
          <w:rFonts w:ascii="Arial" w:hAnsi="Arial" w:cs="Arial"/>
        </w:rPr>
        <w:t xml:space="preserve">Table 1 below shows that </w:t>
      </w:r>
      <w:r w:rsidR="000F1FA1" w:rsidRPr="00AE1556">
        <w:rPr>
          <w:rFonts w:ascii="Arial" w:hAnsi="Arial" w:cs="Arial"/>
        </w:rPr>
        <w:t xml:space="preserve">from 1/4/15 to 31/1/16 </w:t>
      </w:r>
      <w:r w:rsidRPr="00AE1556">
        <w:rPr>
          <w:rFonts w:ascii="Arial" w:hAnsi="Arial" w:cs="Arial"/>
        </w:rPr>
        <w:t xml:space="preserve">only </w:t>
      </w:r>
      <w:r w:rsidR="00506FD4" w:rsidRPr="00AE1556">
        <w:rPr>
          <w:rFonts w:ascii="Arial" w:hAnsi="Arial" w:cs="Arial"/>
        </w:rPr>
        <w:t xml:space="preserve">2 </w:t>
      </w:r>
      <w:r w:rsidRPr="00AE1556">
        <w:rPr>
          <w:rFonts w:ascii="Arial" w:hAnsi="Arial" w:cs="Arial"/>
        </w:rPr>
        <w:t>housing applicant</w:t>
      </w:r>
      <w:r w:rsidR="00506FD4" w:rsidRPr="00AE1556">
        <w:rPr>
          <w:rFonts w:ascii="Arial" w:hAnsi="Arial" w:cs="Arial"/>
        </w:rPr>
        <w:t>s</w:t>
      </w:r>
      <w:r w:rsidRPr="00AE1556">
        <w:rPr>
          <w:rFonts w:ascii="Arial" w:hAnsi="Arial" w:cs="Arial"/>
        </w:rPr>
        <w:t xml:space="preserve"> aged under 40 </w:t>
      </w:r>
      <w:r w:rsidR="00506FD4" w:rsidRPr="00AE1556">
        <w:rPr>
          <w:rFonts w:ascii="Arial" w:hAnsi="Arial" w:cs="Arial"/>
        </w:rPr>
        <w:t>were allocated a bungalow, both were over 25 and had health issues requiring this type of accommodation.  The</w:t>
      </w:r>
      <w:r w:rsidRPr="00AE1556">
        <w:rPr>
          <w:rFonts w:ascii="Arial" w:hAnsi="Arial" w:cs="Arial"/>
        </w:rPr>
        <w:t xml:space="preserve"> remaining 1</w:t>
      </w:r>
      <w:r w:rsidR="000F1FA1" w:rsidRPr="00AE1556">
        <w:rPr>
          <w:rFonts w:ascii="Arial" w:hAnsi="Arial" w:cs="Arial"/>
        </w:rPr>
        <w:t xml:space="preserve">0 were </w:t>
      </w:r>
      <w:r w:rsidRPr="00AE1556">
        <w:rPr>
          <w:rFonts w:ascii="Arial" w:hAnsi="Arial" w:cs="Arial"/>
        </w:rPr>
        <w:t xml:space="preserve">allocated to housing applicants aged 40 years or older.  </w:t>
      </w:r>
    </w:p>
    <w:p w:rsidR="007E3918" w:rsidRPr="00AE1556" w:rsidRDefault="007E3918" w:rsidP="007E3918">
      <w:pPr>
        <w:rPr>
          <w:rFonts w:ascii="Arial" w:hAnsi="Arial" w:cs="Arial"/>
        </w:rPr>
      </w:pPr>
    </w:p>
    <w:p w:rsidR="007E3918" w:rsidRPr="00AE1556" w:rsidRDefault="007E3918" w:rsidP="00120003">
      <w:pPr>
        <w:ind w:firstLine="360"/>
        <w:rPr>
          <w:rFonts w:ascii="Arial" w:hAnsi="Arial" w:cs="Arial"/>
        </w:rPr>
      </w:pPr>
      <w:r w:rsidRPr="00AE1556">
        <w:rPr>
          <w:rFonts w:ascii="Arial" w:hAnsi="Arial" w:cs="Arial"/>
        </w:rPr>
        <w:t>Table 1</w:t>
      </w:r>
    </w:p>
    <w:p w:rsidR="007E3918" w:rsidRPr="00AE1556" w:rsidRDefault="007E3918" w:rsidP="007E3918">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812"/>
      </w:tblGrid>
      <w:tr w:rsidR="007E3918" w:rsidRPr="00AE1556" w:rsidTr="00120003">
        <w:tc>
          <w:tcPr>
            <w:tcW w:w="5148" w:type="dxa"/>
            <w:gridSpan w:val="2"/>
            <w:shd w:val="clear" w:color="auto" w:fill="auto"/>
          </w:tcPr>
          <w:p w:rsidR="007E3918" w:rsidRPr="00AE1556" w:rsidRDefault="007E3918" w:rsidP="00120003">
            <w:pPr>
              <w:rPr>
                <w:rFonts w:ascii="Arial" w:hAnsi="Arial" w:cs="Arial"/>
              </w:rPr>
            </w:pPr>
            <w:r w:rsidRPr="00AE1556">
              <w:rPr>
                <w:rFonts w:ascii="Arial" w:hAnsi="Arial" w:cs="Arial"/>
                <w:b/>
              </w:rPr>
              <w:t>Re-lets to One-Bed Bungalows During 201</w:t>
            </w:r>
            <w:r w:rsidR="00120003" w:rsidRPr="00AE1556">
              <w:rPr>
                <w:rFonts w:ascii="Arial" w:hAnsi="Arial" w:cs="Arial"/>
                <w:b/>
              </w:rPr>
              <w:t>5</w:t>
            </w:r>
            <w:r w:rsidRPr="00AE1556">
              <w:rPr>
                <w:rFonts w:ascii="Arial" w:hAnsi="Arial" w:cs="Arial"/>
                <w:b/>
              </w:rPr>
              <w:t>/1</w:t>
            </w:r>
            <w:r w:rsidR="00120003" w:rsidRPr="00AE1556">
              <w:rPr>
                <w:rFonts w:ascii="Arial" w:hAnsi="Arial" w:cs="Arial"/>
                <w:b/>
              </w:rPr>
              <w:t>6</w:t>
            </w:r>
          </w:p>
        </w:tc>
      </w:tr>
      <w:tr w:rsidR="007E3918" w:rsidRPr="00AE1556" w:rsidTr="00120003">
        <w:tc>
          <w:tcPr>
            <w:tcW w:w="3336" w:type="dxa"/>
            <w:shd w:val="clear" w:color="auto" w:fill="auto"/>
          </w:tcPr>
          <w:p w:rsidR="007E3918" w:rsidRPr="000345E6" w:rsidRDefault="007E3918" w:rsidP="009630A2">
            <w:pPr>
              <w:rPr>
                <w:rFonts w:ascii="Arial" w:hAnsi="Arial" w:cs="Arial"/>
              </w:rPr>
            </w:pPr>
            <w:r w:rsidRPr="000345E6">
              <w:rPr>
                <w:rFonts w:ascii="Arial" w:hAnsi="Arial" w:cs="Arial"/>
              </w:rPr>
              <w:t>Aged 18 to 24</w:t>
            </w:r>
          </w:p>
        </w:tc>
        <w:tc>
          <w:tcPr>
            <w:tcW w:w="1812" w:type="dxa"/>
            <w:shd w:val="clear" w:color="auto" w:fill="auto"/>
          </w:tcPr>
          <w:p w:rsidR="007E3918" w:rsidRPr="000345E6" w:rsidRDefault="007E3918" w:rsidP="009630A2">
            <w:pPr>
              <w:rPr>
                <w:rFonts w:ascii="Arial" w:hAnsi="Arial" w:cs="Arial"/>
              </w:rPr>
            </w:pPr>
            <w:r w:rsidRPr="000345E6">
              <w:rPr>
                <w:rFonts w:ascii="Arial" w:hAnsi="Arial" w:cs="Arial"/>
              </w:rPr>
              <w:t>0</w:t>
            </w:r>
          </w:p>
        </w:tc>
      </w:tr>
      <w:tr w:rsidR="007E3918" w:rsidRPr="00AE1556" w:rsidTr="00120003">
        <w:tc>
          <w:tcPr>
            <w:tcW w:w="3336" w:type="dxa"/>
            <w:shd w:val="clear" w:color="auto" w:fill="auto"/>
          </w:tcPr>
          <w:p w:rsidR="007E3918" w:rsidRPr="00AE1556" w:rsidRDefault="007E3918" w:rsidP="009630A2">
            <w:pPr>
              <w:rPr>
                <w:rFonts w:ascii="Arial" w:hAnsi="Arial" w:cs="Arial"/>
              </w:rPr>
            </w:pPr>
            <w:r w:rsidRPr="00AE1556">
              <w:rPr>
                <w:rFonts w:ascii="Arial" w:hAnsi="Arial" w:cs="Arial"/>
              </w:rPr>
              <w:t>Aged 25 to 39</w:t>
            </w:r>
          </w:p>
        </w:tc>
        <w:tc>
          <w:tcPr>
            <w:tcW w:w="1812" w:type="dxa"/>
            <w:shd w:val="clear" w:color="auto" w:fill="auto"/>
          </w:tcPr>
          <w:p w:rsidR="007E3918" w:rsidRPr="00AE1556" w:rsidRDefault="007E3918" w:rsidP="009630A2">
            <w:pPr>
              <w:rPr>
                <w:rFonts w:ascii="Arial" w:hAnsi="Arial" w:cs="Arial"/>
              </w:rPr>
            </w:pPr>
            <w:r w:rsidRPr="00AE1556">
              <w:rPr>
                <w:rFonts w:ascii="Arial" w:hAnsi="Arial" w:cs="Arial"/>
              </w:rPr>
              <w:t>2</w:t>
            </w:r>
          </w:p>
        </w:tc>
      </w:tr>
      <w:tr w:rsidR="007E3918" w:rsidRPr="00AE1556" w:rsidTr="00120003">
        <w:tc>
          <w:tcPr>
            <w:tcW w:w="3336" w:type="dxa"/>
            <w:shd w:val="clear" w:color="auto" w:fill="auto"/>
          </w:tcPr>
          <w:p w:rsidR="007E3918" w:rsidRPr="00AE1556" w:rsidRDefault="007E3918" w:rsidP="009630A2">
            <w:pPr>
              <w:rPr>
                <w:rFonts w:ascii="Arial" w:hAnsi="Arial" w:cs="Arial"/>
              </w:rPr>
            </w:pPr>
            <w:r w:rsidRPr="00AE1556">
              <w:rPr>
                <w:rFonts w:ascii="Arial" w:hAnsi="Arial" w:cs="Arial"/>
              </w:rPr>
              <w:t>Aged 40 to 49</w:t>
            </w:r>
          </w:p>
        </w:tc>
        <w:tc>
          <w:tcPr>
            <w:tcW w:w="1812" w:type="dxa"/>
            <w:shd w:val="clear" w:color="auto" w:fill="auto"/>
          </w:tcPr>
          <w:p w:rsidR="007E3918" w:rsidRPr="00AE1556" w:rsidRDefault="007E3918" w:rsidP="009630A2">
            <w:pPr>
              <w:rPr>
                <w:rFonts w:ascii="Arial" w:hAnsi="Arial" w:cs="Arial"/>
              </w:rPr>
            </w:pPr>
            <w:r w:rsidRPr="00AE1556">
              <w:rPr>
                <w:rFonts w:ascii="Arial" w:hAnsi="Arial" w:cs="Arial"/>
              </w:rPr>
              <w:t>2</w:t>
            </w:r>
          </w:p>
        </w:tc>
      </w:tr>
      <w:tr w:rsidR="007E3918" w:rsidRPr="00AE1556" w:rsidTr="00120003">
        <w:tc>
          <w:tcPr>
            <w:tcW w:w="3336" w:type="dxa"/>
            <w:shd w:val="clear" w:color="auto" w:fill="auto"/>
          </w:tcPr>
          <w:p w:rsidR="007E3918" w:rsidRPr="00AE1556" w:rsidRDefault="007E3918" w:rsidP="009630A2">
            <w:pPr>
              <w:rPr>
                <w:rFonts w:ascii="Arial" w:hAnsi="Arial" w:cs="Arial"/>
              </w:rPr>
            </w:pPr>
            <w:r w:rsidRPr="00AE1556">
              <w:rPr>
                <w:rFonts w:ascii="Arial" w:hAnsi="Arial" w:cs="Arial"/>
              </w:rPr>
              <w:t>Aged 50 to 59</w:t>
            </w:r>
          </w:p>
        </w:tc>
        <w:tc>
          <w:tcPr>
            <w:tcW w:w="1812" w:type="dxa"/>
            <w:shd w:val="clear" w:color="auto" w:fill="auto"/>
          </w:tcPr>
          <w:p w:rsidR="007E3918" w:rsidRPr="00AE1556" w:rsidRDefault="007E3918" w:rsidP="009630A2">
            <w:pPr>
              <w:rPr>
                <w:rFonts w:ascii="Arial" w:hAnsi="Arial" w:cs="Arial"/>
              </w:rPr>
            </w:pPr>
            <w:r w:rsidRPr="00AE1556">
              <w:rPr>
                <w:rFonts w:ascii="Arial" w:hAnsi="Arial" w:cs="Arial"/>
              </w:rPr>
              <w:t>5</w:t>
            </w:r>
          </w:p>
        </w:tc>
      </w:tr>
      <w:tr w:rsidR="007E3918" w:rsidRPr="00AE1556" w:rsidTr="00120003">
        <w:tc>
          <w:tcPr>
            <w:tcW w:w="3336" w:type="dxa"/>
            <w:shd w:val="clear" w:color="auto" w:fill="auto"/>
          </w:tcPr>
          <w:p w:rsidR="007E3918" w:rsidRPr="00AE1556" w:rsidRDefault="007E3918" w:rsidP="009630A2">
            <w:pPr>
              <w:rPr>
                <w:rFonts w:ascii="Arial" w:hAnsi="Arial" w:cs="Arial"/>
              </w:rPr>
            </w:pPr>
            <w:r w:rsidRPr="00AE1556">
              <w:rPr>
                <w:rFonts w:ascii="Arial" w:hAnsi="Arial" w:cs="Arial"/>
              </w:rPr>
              <w:t>Aged 60 to 69</w:t>
            </w:r>
          </w:p>
        </w:tc>
        <w:tc>
          <w:tcPr>
            <w:tcW w:w="1812" w:type="dxa"/>
            <w:shd w:val="clear" w:color="auto" w:fill="auto"/>
          </w:tcPr>
          <w:p w:rsidR="007E3918" w:rsidRPr="00AE1556" w:rsidRDefault="007E3918" w:rsidP="009630A2">
            <w:pPr>
              <w:rPr>
                <w:rFonts w:ascii="Arial" w:hAnsi="Arial" w:cs="Arial"/>
              </w:rPr>
            </w:pPr>
            <w:r w:rsidRPr="00AE1556">
              <w:rPr>
                <w:rFonts w:ascii="Arial" w:hAnsi="Arial" w:cs="Arial"/>
              </w:rPr>
              <w:t>0</w:t>
            </w:r>
          </w:p>
        </w:tc>
      </w:tr>
      <w:tr w:rsidR="007E3918" w:rsidRPr="00AE1556" w:rsidTr="00120003">
        <w:tc>
          <w:tcPr>
            <w:tcW w:w="3336" w:type="dxa"/>
            <w:shd w:val="clear" w:color="auto" w:fill="auto"/>
          </w:tcPr>
          <w:p w:rsidR="007E3918" w:rsidRPr="00AE1556" w:rsidRDefault="007E3918" w:rsidP="009630A2">
            <w:pPr>
              <w:rPr>
                <w:rFonts w:ascii="Arial" w:hAnsi="Arial" w:cs="Arial"/>
                <w:b/>
              </w:rPr>
            </w:pPr>
            <w:r w:rsidRPr="00AE1556">
              <w:rPr>
                <w:rFonts w:ascii="Arial" w:hAnsi="Arial" w:cs="Arial"/>
              </w:rPr>
              <w:t>Aged 70+</w:t>
            </w:r>
          </w:p>
        </w:tc>
        <w:tc>
          <w:tcPr>
            <w:tcW w:w="1812" w:type="dxa"/>
            <w:shd w:val="clear" w:color="auto" w:fill="auto"/>
          </w:tcPr>
          <w:p w:rsidR="007E3918" w:rsidRPr="00AE1556" w:rsidRDefault="007E3918" w:rsidP="009630A2">
            <w:pPr>
              <w:rPr>
                <w:rFonts w:ascii="Arial" w:hAnsi="Arial" w:cs="Arial"/>
              </w:rPr>
            </w:pPr>
            <w:r w:rsidRPr="00AE1556">
              <w:rPr>
                <w:rFonts w:ascii="Arial" w:hAnsi="Arial" w:cs="Arial"/>
              </w:rPr>
              <w:t>3</w:t>
            </w:r>
          </w:p>
        </w:tc>
      </w:tr>
      <w:tr w:rsidR="007E3918" w:rsidRPr="00AE1556" w:rsidTr="00120003">
        <w:tc>
          <w:tcPr>
            <w:tcW w:w="3336" w:type="dxa"/>
            <w:shd w:val="clear" w:color="auto" w:fill="auto"/>
          </w:tcPr>
          <w:p w:rsidR="007E3918" w:rsidRPr="00AE1556" w:rsidRDefault="007E3918" w:rsidP="009630A2">
            <w:pPr>
              <w:rPr>
                <w:rFonts w:ascii="Arial" w:hAnsi="Arial" w:cs="Arial"/>
                <w:b/>
              </w:rPr>
            </w:pPr>
            <w:r w:rsidRPr="00AE1556">
              <w:rPr>
                <w:rFonts w:ascii="Arial" w:hAnsi="Arial" w:cs="Arial"/>
                <w:b/>
              </w:rPr>
              <w:t xml:space="preserve">Total </w:t>
            </w:r>
          </w:p>
        </w:tc>
        <w:tc>
          <w:tcPr>
            <w:tcW w:w="1812" w:type="dxa"/>
            <w:shd w:val="clear" w:color="auto" w:fill="auto"/>
          </w:tcPr>
          <w:p w:rsidR="007E3918" w:rsidRPr="00AE1556" w:rsidRDefault="007E3918" w:rsidP="009630A2">
            <w:pPr>
              <w:rPr>
                <w:rFonts w:ascii="Arial" w:hAnsi="Arial" w:cs="Arial"/>
                <w:b/>
              </w:rPr>
            </w:pPr>
            <w:r w:rsidRPr="00AE1556">
              <w:rPr>
                <w:rFonts w:ascii="Arial" w:hAnsi="Arial" w:cs="Arial"/>
                <w:b/>
              </w:rPr>
              <w:t>12</w:t>
            </w:r>
          </w:p>
        </w:tc>
      </w:tr>
    </w:tbl>
    <w:p w:rsidR="007E3918" w:rsidRPr="00AE1556" w:rsidRDefault="007E3918" w:rsidP="007E3918">
      <w:pPr>
        <w:rPr>
          <w:rFonts w:ascii="Arial" w:hAnsi="Arial" w:cs="Arial"/>
        </w:rPr>
      </w:pPr>
    </w:p>
    <w:p w:rsidR="00120003" w:rsidRPr="00AE1556" w:rsidRDefault="00120003" w:rsidP="00120003">
      <w:pPr>
        <w:pStyle w:val="ListParagraph"/>
        <w:numPr>
          <w:ilvl w:val="0"/>
          <w:numId w:val="3"/>
        </w:numPr>
        <w:rPr>
          <w:rFonts w:ascii="Arial" w:hAnsi="Arial" w:cs="Arial"/>
        </w:rPr>
      </w:pPr>
      <w:r w:rsidRPr="00AE1556">
        <w:rPr>
          <w:rFonts w:ascii="Arial" w:hAnsi="Arial" w:cs="Arial"/>
        </w:rPr>
        <w:t xml:space="preserve">The Anti-Social Behaviour Investigation Team (ASBIT) and Tenancy Management Team have confirmed that no issues have been reported regarding either of the two younger tenants aged under 40 since they moved into their new homes.  </w:t>
      </w:r>
    </w:p>
    <w:p w:rsidR="00120003" w:rsidRPr="00AE1556" w:rsidRDefault="00120003" w:rsidP="007E3918">
      <w:pPr>
        <w:rPr>
          <w:rFonts w:ascii="Arial" w:hAnsi="Arial" w:cs="Arial"/>
        </w:rPr>
      </w:pPr>
    </w:p>
    <w:p w:rsidR="00120003" w:rsidRPr="00AE1556" w:rsidRDefault="00120003" w:rsidP="00120003">
      <w:pPr>
        <w:rPr>
          <w:rFonts w:ascii="Arial" w:hAnsi="Arial" w:cs="Arial"/>
          <w:b/>
          <w:u w:val="single"/>
        </w:rPr>
      </w:pPr>
      <w:r w:rsidRPr="00AE1556">
        <w:rPr>
          <w:rFonts w:ascii="Arial" w:hAnsi="Arial" w:cs="Arial"/>
          <w:b/>
          <w:u w:val="single"/>
        </w:rPr>
        <w:t xml:space="preserve">Flats  </w:t>
      </w:r>
    </w:p>
    <w:p w:rsidR="00120003" w:rsidRPr="00AE1556" w:rsidRDefault="00120003" w:rsidP="00120003">
      <w:pPr>
        <w:rPr>
          <w:rFonts w:ascii="Arial" w:hAnsi="Arial" w:cs="Arial"/>
        </w:rPr>
      </w:pPr>
      <w:r w:rsidRPr="00AE1556">
        <w:rPr>
          <w:rFonts w:ascii="Arial" w:hAnsi="Arial" w:cs="Arial"/>
        </w:rPr>
        <w:t xml:space="preserve"> </w:t>
      </w:r>
    </w:p>
    <w:p w:rsidR="00120003" w:rsidRPr="00AE1556" w:rsidRDefault="00120003" w:rsidP="00120003">
      <w:pPr>
        <w:pStyle w:val="ListParagraph"/>
        <w:numPr>
          <w:ilvl w:val="0"/>
          <w:numId w:val="3"/>
        </w:numPr>
        <w:rPr>
          <w:rFonts w:ascii="Arial" w:hAnsi="Arial" w:cs="Arial"/>
        </w:rPr>
      </w:pPr>
      <w:r w:rsidRPr="00AE1556">
        <w:rPr>
          <w:rFonts w:ascii="Arial" w:hAnsi="Arial" w:cs="Arial"/>
        </w:rPr>
        <w:t>Table 2 below and Table 3 overleaf show that of the 31 one-bedroom flats re-let from 1/4/15 to 31/1/16, the majority</w:t>
      </w:r>
      <w:r w:rsidR="00607683">
        <w:rPr>
          <w:rFonts w:ascii="Arial" w:hAnsi="Arial" w:cs="Arial"/>
        </w:rPr>
        <w:t xml:space="preserve">, </w:t>
      </w:r>
      <w:r w:rsidRPr="00AE1556">
        <w:rPr>
          <w:rFonts w:ascii="Arial" w:hAnsi="Arial" w:cs="Arial"/>
        </w:rPr>
        <w:t>around 70%</w:t>
      </w:r>
      <w:r w:rsidR="000F1FA1" w:rsidRPr="00AE1556">
        <w:rPr>
          <w:rFonts w:ascii="Arial" w:hAnsi="Arial" w:cs="Arial"/>
        </w:rPr>
        <w:t xml:space="preserve"> </w:t>
      </w:r>
      <w:r w:rsidRPr="00AE1556">
        <w:rPr>
          <w:rFonts w:ascii="Arial" w:hAnsi="Arial" w:cs="Arial"/>
        </w:rPr>
        <w:t>of the flats becoming available were allocated to housing applicants aged 40 years or older and only 30% to those aged under 40.  The youngest person housed was aged 20.</w:t>
      </w:r>
    </w:p>
    <w:p w:rsidR="00120003" w:rsidRPr="00AE1556" w:rsidRDefault="00120003" w:rsidP="00120003">
      <w:pPr>
        <w:rPr>
          <w:rFonts w:ascii="Arial" w:hAnsi="Arial" w:cs="Arial"/>
        </w:rPr>
      </w:pPr>
      <w:r w:rsidRPr="00AE1556">
        <w:rPr>
          <w:rFonts w:ascii="Arial" w:hAnsi="Arial" w:cs="Arial"/>
        </w:rPr>
        <w:t xml:space="preserve"> </w:t>
      </w:r>
    </w:p>
    <w:p w:rsidR="00120003" w:rsidRPr="00AE1556" w:rsidRDefault="00120003" w:rsidP="00120003">
      <w:pPr>
        <w:ind w:firstLine="360"/>
        <w:rPr>
          <w:rFonts w:ascii="Arial" w:hAnsi="Arial" w:cs="Arial"/>
        </w:rPr>
      </w:pPr>
      <w:r w:rsidRPr="00AE1556">
        <w:rPr>
          <w:rFonts w:ascii="Arial" w:hAnsi="Arial" w:cs="Arial"/>
        </w:rPr>
        <w:t>Table 2</w:t>
      </w:r>
    </w:p>
    <w:p w:rsidR="00120003" w:rsidRPr="00AE1556" w:rsidRDefault="00120003" w:rsidP="00120003">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2201"/>
      </w:tblGrid>
      <w:tr w:rsidR="00120003" w:rsidRPr="00AE1556" w:rsidTr="00120003">
        <w:tc>
          <w:tcPr>
            <w:tcW w:w="6095" w:type="dxa"/>
            <w:gridSpan w:val="2"/>
            <w:shd w:val="clear" w:color="auto" w:fill="auto"/>
          </w:tcPr>
          <w:p w:rsidR="00120003" w:rsidRPr="00AE1556" w:rsidRDefault="00120003" w:rsidP="009630A2">
            <w:pPr>
              <w:rPr>
                <w:rFonts w:ascii="Arial" w:hAnsi="Arial" w:cs="Arial"/>
                <w:b/>
              </w:rPr>
            </w:pPr>
            <w:r w:rsidRPr="00AE1556">
              <w:rPr>
                <w:rFonts w:ascii="Arial" w:hAnsi="Arial" w:cs="Arial"/>
                <w:b/>
              </w:rPr>
              <w:t>Re-lets to One-Bed Flats To Applicants Aged Under 40</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18 to 24</w:t>
            </w:r>
          </w:p>
        </w:tc>
        <w:tc>
          <w:tcPr>
            <w:tcW w:w="2201" w:type="dxa"/>
            <w:shd w:val="clear" w:color="auto" w:fill="auto"/>
          </w:tcPr>
          <w:p w:rsidR="00120003" w:rsidRPr="00AE1556" w:rsidRDefault="00120003" w:rsidP="009630A2">
            <w:pPr>
              <w:rPr>
                <w:rFonts w:ascii="Arial" w:hAnsi="Arial" w:cs="Arial"/>
              </w:rPr>
            </w:pPr>
            <w:r w:rsidRPr="00AE1556">
              <w:rPr>
                <w:rFonts w:ascii="Arial" w:hAnsi="Arial" w:cs="Arial"/>
              </w:rPr>
              <w:t>3</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25 to 29</w:t>
            </w:r>
          </w:p>
        </w:tc>
        <w:tc>
          <w:tcPr>
            <w:tcW w:w="2201" w:type="dxa"/>
            <w:shd w:val="clear" w:color="auto" w:fill="auto"/>
          </w:tcPr>
          <w:p w:rsidR="00120003" w:rsidRPr="00AE1556" w:rsidRDefault="00120003" w:rsidP="009630A2">
            <w:pPr>
              <w:rPr>
                <w:rFonts w:ascii="Arial" w:hAnsi="Arial" w:cs="Arial"/>
              </w:rPr>
            </w:pPr>
            <w:r w:rsidRPr="00AE1556">
              <w:rPr>
                <w:rFonts w:ascii="Arial" w:hAnsi="Arial" w:cs="Arial"/>
              </w:rPr>
              <w:t>2</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30 to 34</w:t>
            </w:r>
          </w:p>
        </w:tc>
        <w:tc>
          <w:tcPr>
            <w:tcW w:w="2201" w:type="dxa"/>
            <w:shd w:val="clear" w:color="auto" w:fill="auto"/>
          </w:tcPr>
          <w:p w:rsidR="00120003" w:rsidRPr="00AE1556" w:rsidRDefault="00120003" w:rsidP="009630A2">
            <w:pPr>
              <w:rPr>
                <w:rFonts w:ascii="Arial" w:hAnsi="Arial" w:cs="Arial"/>
              </w:rPr>
            </w:pPr>
            <w:r w:rsidRPr="00AE1556">
              <w:rPr>
                <w:rFonts w:ascii="Arial" w:hAnsi="Arial" w:cs="Arial"/>
              </w:rPr>
              <w:t>3</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35 to 39</w:t>
            </w:r>
          </w:p>
        </w:tc>
        <w:tc>
          <w:tcPr>
            <w:tcW w:w="2201" w:type="dxa"/>
            <w:shd w:val="clear" w:color="auto" w:fill="auto"/>
          </w:tcPr>
          <w:p w:rsidR="00120003" w:rsidRPr="00AE1556" w:rsidRDefault="00120003" w:rsidP="009630A2">
            <w:pPr>
              <w:rPr>
                <w:rFonts w:ascii="Arial" w:hAnsi="Arial" w:cs="Arial"/>
              </w:rPr>
            </w:pPr>
            <w:r w:rsidRPr="00AE1556">
              <w:rPr>
                <w:rFonts w:ascii="Arial" w:hAnsi="Arial" w:cs="Arial"/>
              </w:rPr>
              <w:t>2</w:t>
            </w:r>
          </w:p>
        </w:tc>
      </w:tr>
      <w:tr w:rsidR="00120003" w:rsidRPr="00AE1556" w:rsidTr="00120003">
        <w:tc>
          <w:tcPr>
            <w:tcW w:w="3894" w:type="dxa"/>
            <w:shd w:val="clear" w:color="auto" w:fill="auto"/>
          </w:tcPr>
          <w:p w:rsidR="00120003" w:rsidRPr="00AE1556" w:rsidRDefault="00120003" w:rsidP="009630A2">
            <w:pPr>
              <w:rPr>
                <w:rFonts w:ascii="Arial" w:hAnsi="Arial" w:cs="Arial"/>
                <w:b/>
              </w:rPr>
            </w:pPr>
            <w:r w:rsidRPr="00AE1556">
              <w:rPr>
                <w:rFonts w:ascii="Arial" w:hAnsi="Arial" w:cs="Arial"/>
                <w:b/>
              </w:rPr>
              <w:t>Total Lets To Applicants Aged Under 40</w:t>
            </w:r>
          </w:p>
        </w:tc>
        <w:tc>
          <w:tcPr>
            <w:tcW w:w="2201" w:type="dxa"/>
            <w:shd w:val="clear" w:color="auto" w:fill="auto"/>
          </w:tcPr>
          <w:p w:rsidR="00120003" w:rsidRPr="00AE1556" w:rsidRDefault="00120003" w:rsidP="009630A2">
            <w:pPr>
              <w:rPr>
                <w:rFonts w:ascii="Arial" w:hAnsi="Arial" w:cs="Arial"/>
                <w:b/>
              </w:rPr>
            </w:pPr>
            <w:r w:rsidRPr="00AE1556">
              <w:rPr>
                <w:rFonts w:ascii="Arial" w:hAnsi="Arial" w:cs="Arial"/>
                <w:b/>
              </w:rPr>
              <w:t>10</w:t>
            </w:r>
          </w:p>
        </w:tc>
      </w:tr>
    </w:tbl>
    <w:p w:rsidR="00120003" w:rsidRPr="00AE1556" w:rsidRDefault="00120003" w:rsidP="00120003">
      <w:pPr>
        <w:rPr>
          <w:rFonts w:ascii="Arial" w:hAnsi="Arial" w:cs="Arial"/>
        </w:rPr>
      </w:pPr>
    </w:p>
    <w:p w:rsidR="000F1FA1" w:rsidRPr="00AE1556" w:rsidRDefault="000F1FA1">
      <w:pPr>
        <w:rPr>
          <w:rFonts w:ascii="Arial" w:hAnsi="Arial" w:cs="Arial"/>
        </w:rPr>
      </w:pPr>
      <w:r w:rsidRPr="00AE1556">
        <w:rPr>
          <w:rFonts w:ascii="Arial" w:hAnsi="Arial" w:cs="Arial"/>
        </w:rPr>
        <w:br w:type="page"/>
      </w:r>
    </w:p>
    <w:p w:rsidR="00120003" w:rsidRPr="00AE1556" w:rsidRDefault="00120003" w:rsidP="00120003">
      <w:pPr>
        <w:rPr>
          <w:rFonts w:ascii="Arial" w:hAnsi="Arial" w:cs="Arial"/>
        </w:rPr>
      </w:pPr>
    </w:p>
    <w:p w:rsidR="00120003" w:rsidRPr="00AE1556" w:rsidRDefault="00120003" w:rsidP="00120003">
      <w:pPr>
        <w:rPr>
          <w:rFonts w:ascii="Arial" w:hAnsi="Arial" w:cs="Arial"/>
        </w:rPr>
      </w:pPr>
      <w:r w:rsidRPr="00AE1556">
        <w:rPr>
          <w:rFonts w:ascii="Arial" w:hAnsi="Arial" w:cs="Arial"/>
        </w:rPr>
        <w:t xml:space="preserve">     Table 3</w:t>
      </w:r>
    </w:p>
    <w:p w:rsidR="00120003" w:rsidRPr="00AE1556" w:rsidRDefault="00120003" w:rsidP="00120003">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1492"/>
      </w:tblGrid>
      <w:tr w:rsidR="00120003" w:rsidRPr="00AE1556" w:rsidTr="00120003">
        <w:tc>
          <w:tcPr>
            <w:tcW w:w="5386" w:type="dxa"/>
            <w:gridSpan w:val="2"/>
            <w:shd w:val="clear" w:color="auto" w:fill="auto"/>
          </w:tcPr>
          <w:p w:rsidR="00120003" w:rsidRPr="00AE1556" w:rsidRDefault="00120003" w:rsidP="009630A2">
            <w:pPr>
              <w:rPr>
                <w:rFonts w:ascii="Arial" w:hAnsi="Arial" w:cs="Arial"/>
                <w:b/>
              </w:rPr>
            </w:pPr>
            <w:r w:rsidRPr="00AE1556">
              <w:rPr>
                <w:rFonts w:ascii="Arial" w:hAnsi="Arial" w:cs="Arial"/>
                <w:b/>
              </w:rPr>
              <w:t>Re-lets to One-Bed Flats To Applicants Aged 40+</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40 to 49</w:t>
            </w:r>
          </w:p>
        </w:tc>
        <w:tc>
          <w:tcPr>
            <w:tcW w:w="1492" w:type="dxa"/>
            <w:shd w:val="clear" w:color="auto" w:fill="auto"/>
          </w:tcPr>
          <w:p w:rsidR="00120003" w:rsidRPr="00AE1556" w:rsidRDefault="00120003" w:rsidP="009630A2">
            <w:pPr>
              <w:rPr>
                <w:rFonts w:ascii="Arial" w:hAnsi="Arial" w:cs="Arial"/>
              </w:rPr>
            </w:pPr>
            <w:r w:rsidRPr="00AE1556">
              <w:rPr>
                <w:rFonts w:ascii="Arial" w:hAnsi="Arial" w:cs="Arial"/>
              </w:rPr>
              <w:t>11</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50 to 59</w:t>
            </w:r>
          </w:p>
        </w:tc>
        <w:tc>
          <w:tcPr>
            <w:tcW w:w="1492" w:type="dxa"/>
            <w:shd w:val="clear" w:color="auto" w:fill="auto"/>
          </w:tcPr>
          <w:p w:rsidR="00120003" w:rsidRPr="00AE1556" w:rsidRDefault="00120003" w:rsidP="009630A2">
            <w:pPr>
              <w:rPr>
                <w:rFonts w:ascii="Arial" w:hAnsi="Arial" w:cs="Arial"/>
              </w:rPr>
            </w:pPr>
            <w:r w:rsidRPr="00AE1556">
              <w:rPr>
                <w:rFonts w:ascii="Arial" w:hAnsi="Arial" w:cs="Arial"/>
              </w:rPr>
              <w:t>7</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60 to 69</w:t>
            </w:r>
          </w:p>
        </w:tc>
        <w:tc>
          <w:tcPr>
            <w:tcW w:w="1492" w:type="dxa"/>
            <w:shd w:val="clear" w:color="auto" w:fill="auto"/>
          </w:tcPr>
          <w:p w:rsidR="00120003" w:rsidRPr="00AE1556" w:rsidRDefault="00120003" w:rsidP="009630A2">
            <w:pPr>
              <w:rPr>
                <w:rFonts w:ascii="Arial" w:hAnsi="Arial" w:cs="Arial"/>
              </w:rPr>
            </w:pPr>
            <w:r w:rsidRPr="00AE1556">
              <w:rPr>
                <w:rFonts w:ascii="Arial" w:hAnsi="Arial" w:cs="Arial"/>
              </w:rPr>
              <w:t>3</w:t>
            </w:r>
          </w:p>
        </w:tc>
      </w:tr>
      <w:tr w:rsidR="00120003" w:rsidRPr="00AE1556" w:rsidTr="00120003">
        <w:tc>
          <w:tcPr>
            <w:tcW w:w="3894" w:type="dxa"/>
            <w:shd w:val="clear" w:color="auto" w:fill="auto"/>
          </w:tcPr>
          <w:p w:rsidR="00120003" w:rsidRPr="00AE1556" w:rsidRDefault="00120003" w:rsidP="009630A2">
            <w:pPr>
              <w:rPr>
                <w:rFonts w:ascii="Arial" w:hAnsi="Arial" w:cs="Arial"/>
              </w:rPr>
            </w:pPr>
            <w:r w:rsidRPr="00AE1556">
              <w:rPr>
                <w:rFonts w:ascii="Arial" w:hAnsi="Arial" w:cs="Arial"/>
              </w:rPr>
              <w:t>Aged 70+</w:t>
            </w:r>
          </w:p>
        </w:tc>
        <w:tc>
          <w:tcPr>
            <w:tcW w:w="1492" w:type="dxa"/>
            <w:shd w:val="clear" w:color="auto" w:fill="auto"/>
          </w:tcPr>
          <w:p w:rsidR="00120003" w:rsidRPr="00AE1556" w:rsidRDefault="00120003" w:rsidP="009630A2">
            <w:pPr>
              <w:rPr>
                <w:rFonts w:ascii="Arial" w:hAnsi="Arial" w:cs="Arial"/>
              </w:rPr>
            </w:pPr>
            <w:r w:rsidRPr="00AE1556">
              <w:rPr>
                <w:rFonts w:ascii="Arial" w:hAnsi="Arial" w:cs="Arial"/>
              </w:rPr>
              <w:t>0</w:t>
            </w:r>
          </w:p>
        </w:tc>
      </w:tr>
      <w:tr w:rsidR="00120003" w:rsidRPr="00AE1556" w:rsidTr="00120003">
        <w:tc>
          <w:tcPr>
            <w:tcW w:w="3894" w:type="dxa"/>
            <w:shd w:val="clear" w:color="auto" w:fill="auto"/>
          </w:tcPr>
          <w:p w:rsidR="00120003" w:rsidRPr="00AE1556" w:rsidRDefault="00120003" w:rsidP="009630A2">
            <w:pPr>
              <w:rPr>
                <w:rFonts w:ascii="Arial" w:hAnsi="Arial" w:cs="Arial"/>
                <w:b/>
              </w:rPr>
            </w:pPr>
            <w:r w:rsidRPr="00AE1556">
              <w:rPr>
                <w:rFonts w:ascii="Arial" w:hAnsi="Arial" w:cs="Arial"/>
                <w:b/>
              </w:rPr>
              <w:t>Total Lets To Applicants Aged 40+</w:t>
            </w:r>
          </w:p>
        </w:tc>
        <w:tc>
          <w:tcPr>
            <w:tcW w:w="1492" w:type="dxa"/>
            <w:shd w:val="clear" w:color="auto" w:fill="auto"/>
          </w:tcPr>
          <w:p w:rsidR="00120003" w:rsidRPr="00AE1556" w:rsidRDefault="00120003" w:rsidP="009630A2">
            <w:pPr>
              <w:rPr>
                <w:rFonts w:ascii="Arial" w:hAnsi="Arial" w:cs="Arial"/>
                <w:b/>
              </w:rPr>
            </w:pPr>
            <w:r w:rsidRPr="00AE1556">
              <w:rPr>
                <w:rFonts w:ascii="Arial" w:hAnsi="Arial" w:cs="Arial"/>
                <w:b/>
              </w:rPr>
              <w:t>21</w:t>
            </w:r>
          </w:p>
        </w:tc>
      </w:tr>
    </w:tbl>
    <w:p w:rsidR="00120003" w:rsidRPr="00AE1556" w:rsidRDefault="00120003" w:rsidP="007E3918">
      <w:pPr>
        <w:rPr>
          <w:rFonts w:ascii="Arial" w:hAnsi="Arial" w:cs="Arial"/>
        </w:rPr>
      </w:pPr>
    </w:p>
    <w:p w:rsidR="007E3918" w:rsidRPr="00AE1556" w:rsidRDefault="007E3918" w:rsidP="007E3918">
      <w:pPr>
        <w:rPr>
          <w:rFonts w:ascii="Arial" w:hAnsi="Arial" w:cs="Arial"/>
          <w:u w:val="single"/>
        </w:rPr>
      </w:pPr>
    </w:p>
    <w:p w:rsidR="00120003" w:rsidRPr="00AE1556" w:rsidRDefault="00120003" w:rsidP="00120003">
      <w:pPr>
        <w:pStyle w:val="ListParagraph"/>
        <w:numPr>
          <w:ilvl w:val="0"/>
          <w:numId w:val="3"/>
        </w:numPr>
        <w:rPr>
          <w:rFonts w:ascii="Arial" w:hAnsi="Arial" w:cs="Arial"/>
          <w:b/>
          <w:u w:val="single"/>
        </w:rPr>
      </w:pPr>
      <w:r w:rsidRPr="00AE1556">
        <w:rPr>
          <w:rFonts w:ascii="Arial" w:hAnsi="Arial" w:cs="Arial"/>
        </w:rPr>
        <w:t xml:space="preserve">The ASBIT and Tenancy Management Team have confirmed that with the exception of one new tenant, there have been no issues reported regarding any of the tenants aged under 40 moving into the flats. The incident reported related to noise nuisance and the </w:t>
      </w:r>
      <w:r w:rsidR="000F1FA1" w:rsidRPr="00AE1556">
        <w:rPr>
          <w:rFonts w:ascii="Arial" w:hAnsi="Arial" w:cs="Arial"/>
        </w:rPr>
        <w:t xml:space="preserve">local </w:t>
      </w:r>
      <w:r w:rsidRPr="00AE1556">
        <w:rPr>
          <w:rFonts w:ascii="Arial" w:hAnsi="Arial" w:cs="Arial"/>
        </w:rPr>
        <w:t xml:space="preserve">Community Response Team Officer and Tenancy Management Officer are working with the tenant currently. </w:t>
      </w:r>
      <w:r w:rsidRPr="00AE1556" w:rsidDel="005879C0">
        <w:rPr>
          <w:rFonts w:ascii="Arial" w:hAnsi="Arial" w:cs="Arial"/>
        </w:rPr>
        <w:t xml:space="preserve">  </w:t>
      </w:r>
    </w:p>
    <w:p w:rsidR="00120003" w:rsidRPr="00AE1556" w:rsidRDefault="00120003" w:rsidP="00120003">
      <w:pPr>
        <w:rPr>
          <w:rFonts w:ascii="Arial" w:hAnsi="Arial" w:cs="Arial"/>
          <w:b/>
          <w:u w:val="single"/>
        </w:rPr>
      </w:pPr>
    </w:p>
    <w:p w:rsidR="00120003" w:rsidRDefault="00120003" w:rsidP="00120003">
      <w:pPr>
        <w:rPr>
          <w:rFonts w:ascii="Arial" w:hAnsi="Arial" w:cs="Arial"/>
          <w:b/>
          <w:u w:val="single"/>
        </w:rPr>
      </w:pPr>
      <w:r w:rsidRPr="00AE1556">
        <w:rPr>
          <w:rFonts w:ascii="Arial" w:hAnsi="Arial" w:cs="Arial"/>
          <w:b/>
          <w:u w:val="single"/>
        </w:rPr>
        <w:t>De-designation in 2016</w:t>
      </w:r>
    </w:p>
    <w:p w:rsidR="001D60F3" w:rsidRPr="00AE1556" w:rsidRDefault="001D60F3" w:rsidP="00120003">
      <w:pPr>
        <w:rPr>
          <w:rFonts w:ascii="Arial" w:hAnsi="Arial" w:cs="Arial"/>
          <w:b/>
          <w:u w:val="single"/>
        </w:rPr>
      </w:pPr>
    </w:p>
    <w:p w:rsidR="00120003" w:rsidRPr="00AE1556" w:rsidRDefault="00120003" w:rsidP="00120003">
      <w:pPr>
        <w:rPr>
          <w:rFonts w:ascii="Arial" w:hAnsi="Arial" w:cs="Arial"/>
        </w:rPr>
      </w:pPr>
    </w:p>
    <w:p w:rsidR="00CF4BA9" w:rsidRDefault="00CF4BA9" w:rsidP="0098587A">
      <w:pPr>
        <w:pStyle w:val="ListParagraph"/>
        <w:numPr>
          <w:ilvl w:val="0"/>
          <w:numId w:val="3"/>
        </w:numPr>
        <w:rPr>
          <w:rFonts w:ascii="Arial" w:hAnsi="Arial" w:cs="Arial"/>
        </w:rPr>
      </w:pPr>
      <w:r w:rsidRPr="00CF4BA9">
        <w:rPr>
          <w:rFonts w:ascii="Arial" w:hAnsi="Arial" w:cs="Arial"/>
        </w:rPr>
        <w:t xml:space="preserve">The </w:t>
      </w:r>
      <w:r>
        <w:rPr>
          <w:rFonts w:ascii="Arial" w:hAnsi="Arial" w:cs="Arial"/>
        </w:rPr>
        <w:t xml:space="preserve">one-bedroom flats </w:t>
      </w:r>
      <w:r w:rsidRPr="00CF4BA9">
        <w:rPr>
          <w:rFonts w:ascii="Arial" w:hAnsi="Arial" w:cs="Arial"/>
        </w:rPr>
        <w:t xml:space="preserve">listed in Appendix 1 are the last </w:t>
      </w:r>
      <w:r>
        <w:rPr>
          <w:rFonts w:ascii="Arial" w:hAnsi="Arial" w:cs="Arial"/>
        </w:rPr>
        <w:t xml:space="preserve"> properties </w:t>
      </w:r>
      <w:r w:rsidRPr="00CF4BA9">
        <w:rPr>
          <w:rFonts w:ascii="Arial" w:hAnsi="Arial" w:cs="Arial"/>
        </w:rPr>
        <w:t>due to be</w:t>
      </w:r>
      <w:r>
        <w:rPr>
          <w:rFonts w:ascii="Arial" w:hAnsi="Arial" w:cs="Arial"/>
        </w:rPr>
        <w:t xml:space="preserve"> </w:t>
      </w:r>
      <w:r w:rsidRPr="00CF4BA9">
        <w:rPr>
          <w:rFonts w:ascii="Arial" w:hAnsi="Arial" w:cs="Arial"/>
        </w:rPr>
        <w:t>de-designated</w:t>
      </w:r>
      <w:r>
        <w:rPr>
          <w:rFonts w:ascii="Arial" w:hAnsi="Arial" w:cs="Arial"/>
        </w:rPr>
        <w:t>, and with the wi</w:t>
      </w:r>
      <w:r w:rsidRPr="001D60F3">
        <w:rPr>
          <w:rFonts w:ascii="Arial" w:hAnsi="Arial" w:cs="Arial"/>
        </w:rPr>
        <w:t>th the exception of the one-bedroom flats at Salter Close and Whitehouse Road</w:t>
      </w:r>
      <w:r>
        <w:rPr>
          <w:rFonts w:ascii="Arial" w:hAnsi="Arial" w:cs="Arial"/>
        </w:rPr>
        <w:t xml:space="preserve">, they are all </w:t>
      </w:r>
      <w:r w:rsidRPr="001D60F3">
        <w:rPr>
          <w:rFonts w:ascii="Arial" w:hAnsi="Arial" w:cs="Arial"/>
        </w:rPr>
        <w:t xml:space="preserve">due to be </w:t>
      </w:r>
      <w:r>
        <w:rPr>
          <w:rFonts w:ascii="Arial" w:hAnsi="Arial" w:cs="Arial"/>
        </w:rPr>
        <w:t xml:space="preserve">                   </w:t>
      </w:r>
      <w:r w:rsidRPr="001D60F3">
        <w:rPr>
          <w:rFonts w:ascii="Arial" w:hAnsi="Arial" w:cs="Arial"/>
        </w:rPr>
        <w:t>de-designated from 1/4/16.</w:t>
      </w:r>
    </w:p>
    <w:p w:rsidR="00CF4BA9" w:rsidRDefault="00CF4BA9" w:rsidP="00CF4BA9">
      <w:pPr>
        <w:rPr>
          <w:rFonts w:ascii="Arial" w:hAnsi="Arial" w:cs="Arial"/>
        </w:rPr>
      </w:pPr>
    </w:p>
    <w:p w:rsidR="00CF4BA9" w:rsidRPr="00CF4BA9" w:rsidRDefault="00CF4BA9" w:rsidP="00CF4BA9">
      <w:pPr>
        <w:pStyle w:val="ListParagraph"/>
        <w:numPr>
          <w:ilvl w:val="0"/>
          <w:numId w:val="3"/>
        </w:numPr>
        <w:rPr>
          <w:rFonts w:ascii="Arial" w:hAnsi="Arial" w:cs="Arial"/>
        </w:rPr>
      </w:pPr>
      <w:r w:rsidRPr="00CF4BA9">
        <w:rPr>
          <w:rFonts w:ascii="Arial" w:hAnsi="Arial" w:cs="Arial"/>
        </w:rPr>
        <w:t>There are on-going and historical issues in and around the vicinity of Salter Close and Whitehouse Road relating to noise nuisance and other anti-social behaviour.  The Anti-Social Behaviour Investigation Team has been working with local residents and others agencies including the police to address these issues.  In order to help reduce the impact of any new lettings on existing residents and to help address these issues it is proposed that a Local Lettings Plan</w:t>
      </w:r>
      <w:r>
        <w:rPr>
          <w:rFonts w:ascii="Arial" w:hAnsi="Arial" w:cs="Arial"/>
        </w:rPr>
        <w:t>(LLP)</w:t>
      </w:r>
      <w:r w:rsidRPr="00CF4BA9">
        <w:rPr>
          <w:rFonts w:ascii="Arial" w:hAnsi="Arial" w:cs="Arial"/>
        </w:rPr>
        <w:t xml:space="preserve"> is put in place, for the 4</w:t>
      </w:r>
      <w:r w:rsidR="00607683">
        <w:rPr>
          <w:rFonts w:ascii="Arial" w:hAnsi="Arial" w:cs="Arial"/>
        </w:rPr>
        <w:t>1</w:t>
      </w:r>
      <w:r w:rsidRPr="00CF4BA9">
        <w:rPr>
          <w:rFonts w:ascii="Arial" w:hAnsi="Arial" w:cs="Arial"/>
        </w:rPr>
        <w:t xml:space="preserve"> </w:t>
      </w:r>
      <w:r w:rsidR="00607683">
        <w:rPr>
          <w:rFonts w:ascii="Arial" w:hAnsi="Arial" w:cs="Arial"/>
        </w:rPr>
        <w:t xml:space="preserve">       </w:t>
      </w:r>
      <w:r w:rsidRPr="00CF4BA9">
        <w:rPr>
          <w:rFonts w:ascii="Arial" w:hAnsi="Arial" w:cs="Arial"/>
        </w:rPr>
        <w:t>one-bedroom flats owned by the Council in Salter Close and Whitehouse Road</w:t>
      </w:r>
      <w:r w:rsidR="00784ECA">
        <w:rPr>
          <w:rFonts w:ascii="Arial" w:hAnsi="Arial" w:cs="Arial"/>
        </w:rPr>
        <w:t>.</w:t>
      </w:r>
    </w:p>
    <w:p w:rsidR="00CF4BA9" w:rsidRPr="00CF4BA9" w:rsidRDefault="00CF4BA9" w:rsidP="00CF4BA9">
      <w:pPr>
        <w:rPr>
          <w:rFonts w:ascii="Arial" w:hAnsi="Arial" w:cs="Arial"/>
        </w:rPr>
      </w:pPr>
      <w:r>
        <w:rPr>
          <w:rFonts w:ascii="Arial" w:hAnsi="Arial" w:cs="Arial"/>
        </w:rPr>
        <w:t xml:space="preserve"> </w:t>
      </w:r>
      <w:r w:rsidRPr="00CF4BA9">
        <w:rPr>
          <w:rFonts w:ascii="Arial" w:hAnsi="Arial" w:cs="Arial"/>
        </w:rPr>
        <w:t xml:space="preserve">   </w:t>
      </w:r>
    </w:p>
    <w:p w:rsidR="00CF4BA9" w:rsidRPr="00784ECA" w:rsidRDefault="00784ECA" w:rsidP="00120003">
      <w:pPr>
        <w:pStyle w:val="ListParagraph"/>
        <w:numPr>
          <w:ilvl w:val="0"/>
          <w:numId w:val="3"/>
        </w:numPr>
        <w:rPr>
          <w:rFonts w:ascii="Arial" w:hAnsi="Arial" w:cs="Arial"/>
        </w:rPr>
      </w:pPr>
      <w:r w:rsidRPr="00784ECA">
        <w:rPr>
          <w:rFonts w:ascii="Arial" w:hAnsi="Arial" w:cs="Arial"/>
        </w:rPr>
        <w:t xml:space="preserve">A report on the proposed </w:t>
      </w:r>
      <w:r w:rsidR="00CF4BA9" w:rsidRPr="00784ECA">
        <w:rPr>
          <w:rFonts w:ascii="Arial" w:hAnsi="Arial" w:cs="Arial"/>
        </w:rPr>
        <w:t>LLP</w:t>
      </w:r>
      <w:r w:rsidRPr="00784ECA">
        <w:rPr>
          <w:rFonts w:ascii="Arial" w:hAnsi="Arial" w:cs="Arial"/>
        </w:rPr>
        <w:t xml:space="preserve"> is being submitted to the CEB on 14/4/16 and is proposed that the flats are Salter Close and Whitehouse Road are not de-designated until after a LLP has been approved by the CEB. </w:t>
      </w:r>
      <w:r>
        <w:rPr>
          <w:rFonts w:ascii="Arial" w:hAnsi="Arial" w:cs="Arial"/>
        </w:rPr>
        <w:t xml:space="preserve"> So the Housing Panel are being asked to agree that the flats at Salter Close and Whitehouse Road are de-designated but this will only take place after the LLP is agreed by CEB. </w:t>
      </w:r>
    </w:p>
    <w:p w:rsidR="00120003" w:rsidRPr="00AE1556" w:rsidRDefault="00120003" w:rsidP="00120003">
      <w:pPr>
        <w:rPr>
          <w:rFonts w:ascii="Arial" w:hAnsi="Arial" w:cs="Arial"/>
        </w:rPr>
      </w:pPr>
    </w:p>
    <w:p w:rsidR="00120003" w:rsidRPr="00AE1556" w:rsidRDefault="00120003" w:rsidP="00120003">
      <w:pPr>
        <w:pStyle w:val="ListParagraph"/>
        <w:numPr>
          <w:ilvl w:val="0"/>
          <w:numId w:val="3"/>
        </w:numPr>
        <w:rPr>
          <w:rFonts w:ascii="Arial" w:hAnsi="Arial" w:cs="Arial"/>
        </w:rPr>
      </w:pPr>
      <w:r w:rsidRPr="00AE1556">
        <w:rPr>
          <w:rFonts w:ascii="Arial" w:hAnsi="Arial" w:cs="Arial"/>
        </w:rPr>
        <w:t xml:space="preserve">While the ASBIT and Tenancy Management Teams have confirmed that as with any blocks of flats there are sometimes issues reported regarding individual tenants in properties across the City including some of the blocks proposed to be de-designated in they are isolated issues and they do not feel this should hold up the de-designation of these properties.  </w:t>
      </w:r>
    </w:p>
    <w:p w:rsidR="00120003" w:rsidRPr="00AE1556" w:rsidRDefault="00120003" w:rsidP="00120003">
      <w:pPr>
        <w:rPr>
          <w:rFonts w:ascii="Arial" w:hAnsi="Arial" w:cs="Arial"/>
        </w:rPr>
      </w:pPr>
    </w:p>
    <w:p w:rsidR="00120003" w:rsidRPr="00AE1556" w:rsidRDefault="00120003" w:rsidP="00120003">
      <w:pPr>
        <w:pStyle w:val="ListParagraph"/>
        <w:numPr>
          <w:ilvl w:val="0"/>
          <w:numId w:val="3"/>
        </w:numPr>
        <w:rPr>
          <w:rFonts w:ascii="Arial" w:hAnsi="Arial" w:cs="Arial"/>
          <w:b/>
          <w:u w:val="single"/>
        </w:rPr>
      </w:pPr>
      <w:r w:rsidRPr="00AE1556">
        <w:rPr>
          <w:rFonts w:ascii="Arial" w:hAnsi="Arial" w:cs="Arial"/>
        </w:rPr>
        <w:lastRenderedPageBreak/>
        <w:t xml:space="preserve">This is the final year of the de-designation process and although </w:t>
      </w:r>
      <w:r w:rsidR="00784ECA">
        <w:rPr>
          <w:rFonts w:ascii="Arial" w:hAnsi="Arial" w:cs="Arial"/>
        </w:rPr>
        <w:t xml:space="preserve">since 1/4/11 </w:t>
      </w:r>
      <w:r w:rsidRPr="00AE1556">
        <w:rPr>
          <w:rFonts w:ascii="Arial" w:hAnsi="Arial" w:cs="Arial"/>
        </w:rPr>
        <w:t>there have been isolated issues with a couple of younger tenants they have been largely down to isolated lifestyle issues and dealt with.  The vast majority of allocations to housing applicants aged under 40 have had no impact on the existing residents. Indeed it is felt that in some cases by allowing younger applicants to apply for these properties that it may well help with the dynamics of the properties and reduce some of the problems that can sometimes occur.  The Allocations Team has continued to treat lets to the de-designated properties as particularly sensitive lets and will continue to complete thorough checks before considering any housing applicants for an offer in the future.</w:t>
      </w:r>
    </w:p>
    <w:p w:rsidR="00120003" w:rsidRPr="00AE1556" w:rsidRDefault="00120003" w:rsidP="00120003">
      <w:pPr>
        <w:rPr>
          <w:rFonts w:ascii="Arial" w:hAnsi="Arial" w:cs="Arial"/>
          <w:b/>
          <w:u w:val="single"/>
        </w:rPr>
      </w:pPr>
    </w:p>
    <w:p w:rsidR="00120003" w:rsidRDefault="00120003" w:rsidP="00120003">
      <w:pPr>
        <w:rPr>
          <w:rFonts w:ascii="Arial" w:hAnsi="Arial" w:cs="Arial"/>
          <w:b/>
          <w:u w:val="single"/>
        </w:rPr>
      </w:pPr>
    </w:p>
    <w:p w:rsidR="003724BD" w:rsidRPr="00AE1556" w:rsidRDefault="003724BD" w:rsidP="00120003">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E3918" w:rsidRPr="00AE1556" w:rsidTr="009630A2">
        <w:tc>
          <w:tcPr>
            <w:tcW w:w="8522" w:type="dxa"/>
            <w:shd w:val="clear" w:color="auto" w:fill="auto"/>
          </w:tcPr>
          <w:p w:rsidR="007E3918" w:rsidRPr="00AE1556" w:rsidRDefault="007E3918" w:rsidP="009630A2">
            <w:pPr>
              <w:rPr>
                <w:rFonts w:ascii="Arial" w:hAnsi="Arial" w:cs="Arial"/>
              </w:rPr>
            </w:pPr>
          </w:p>
          <w:p w:rsidR="007E3918" w:rsidRPr="003724BD" w:rsidRDefault="007E3918" w:rsidP="009630A2">
            <w:pPr>
              <w:rPr>
                <w:rFonts w:ascii="Arial" w:hAnsi="Arial" w:cs="Arial"/>
                <w:b/>
              </w:rPr>
            </w:pPr>
            <w:r w:rsidRPr="003724BD">
              <w:rPr>
                <w:rFonts w:ascii="Arial" w:hAnsi="Arial" w:cs="Arial"/>
                <w:b/>
              </w:rPr>
              <w:t>Name &amp; Contact Details of the Author</w:t>
            </w:r>
          </w:p>
          <w:p w:rsidR="007E3918" w:rsidRPr="00AE1556" w:rsidRDefault="007E3918" w:rsidP="009630A2">
            <w:pPr>
              <w:rPr>
                <w:rFonts w:ascii="Arial" w:hAnsi="Arial" w:cs="Arial"/>
              </w:rPr>
            </w:pPr>
          </w:p>
          <w:p w:rsidR="007E3918" w:rsidRPr="00AE1556" w:rsidRDefault="007E3918" w:rsidP="009630A2">
            <w:pPr>
              <w:rPr>
                <w:rFonts w:ascii="Arial" w:hAnsi="Arial" w:cs="Arial"/>
              </w:rPr>
            </w:pPr>
            <w:r w:rsidRPr="00AE1556">
              <w:rPr>
                <w:rFonts w:ascii="Arial" w:hAnsi="Arial" w:cs="Arial"/>
              </w:rPr>
              <w:t>Name: Tom Porter</w:t>
            </w:r>
          </w:p>
          <w:p w:rsidR="007E3918" w:rsidRPr="00AE1556" w:rsidRDefault="007E3918" w:rsidP="009630A2">
            <w:pPr>
              <w:rPr>
                <w:rFonts w:ascii="Arial" w:hAnsi="Arial" w:cs="Arial"/>
              </w:rPr>
            </w:pPr>
            <w:r w:rsidRPr="00AE1556">
              <w:rPr>
                <w:rFonts w:ascii="Arial" w:hAnsi="Arial" w:cs="Arial"/>
              </w:rPr>
              <w:t>Job Title:  Allocations Manager</w:t>
            </w:r>
          </w:p>
          <w:p w:rsidR="007E3918" w:rsidRPr="00AE1556" w:rsidRDefault="007E3918" w:rsidP="009630A2">
            <w:pPr>
              <w:rPr>
                <w:rFonts w:ascii="Arial" w:hAnsi="Arial" w:cs="Arial"/>
              </w:rPr>
            </w:pPr>
            <w:r w:rsidRPr="00AE1556">
              <w:rPr>
                <w:rFonts w:ascii="Arial" w:hAnsi="Arial" w:cs="Arial"/>
              </w:rPr>
              <w:t>Service Area/Department:  Housing Needs Team</w:t>
            </w:r>
          </w:p>
          <w:p w:rsidR="007E3918" w:rsidRPr="00AE1556" w:rsidRDefault="007E3918" w:rsidP="009630A2">
            <w:pPr>
              <w:rPr>
                <w:rFonts w:ascii="Arial" w:hAnsi="Arial" w:cs="Arial"/>
              </w:rPr>
            </w:pPr>
            <w:r w:rsidRPr="00AE1556">
              <w:rPr>
                <w:rFonts w:ascii="Arial" w:hAnsi="Arial" w:cs="Arial"/>
              </w:rPr>
              <w:t>Tel:  01865 25</w:t>
            </w:r>
            <w:r w:rsidR="00AE1556" w:rsidRPr="00AE1556">
              <w:rPr>
                <w:rFonts w:ascii="Arial" w:hAnsi="Arial" w:cs="Arial"/>
              </w:rPr>
              <w:t>2858</w:t>
            </w:r>
            <w:r w:rsidRPr="00AE1556">
              <w:rPr>
                <w:rFonts w:ascii="Arial" w:hAnsi="Arial" w:cs="Arial"/>
              </w:rPr>
              <w:t xml:space="preserve"> </w:t>
            </w:r>
          </w:p>
          <w:p w:rsidR="007E3918" w:rsidRPr="00AE1556" w:rsidRDefault="007E3918" w:rsidP="009630A2">
            <w:pPr>
              <w:rPr>
                <w:rFonts w:ascii="Arial" w:hAnsi="Arial" w:cs="Arial"/>
              </w:rPr>
            </w:pPr>
            <w:r w:rsidRPr="00AE1556">
              <w:rPr>
                <w:rFonts w:ascii="Arial" w:hAnsi="Arial" w:cs="Arial"/>
              </w:rPr>
              <w:t>Email: tporter@oxford.gov.uk</w:t>
            </w:r>
          </w:p>
          <w:p w:rsidR="007E3918" w:rsidRPr="00AE1556" w:rsidRDefault="007E3918" w:rsidP="009630A2">
            <w:pPr>
              <w:rPr>
                <w:rFonts w:ascii="Arial" w:hAnsi="Arial" w:cs="Arial"/>
              </w:rPr>
            </w:pPr>
          </w:p>
        </w:tc>
      </w:tr>
    </w:tbl>
    <w:p w:rsidR="007E3918" w:rsidRPr="00AE1556" w:rsidRDefault="007E3918" w:rsidP="007E3918">
      <w:pPr>
        <w:rPr>
          <w:rFonts w:ascii="Arial" w:hAnsi="Arial" w:cs="Arial"/>
        </w:rPr>
      </w:pPr>
    </w:p>
    <w:p w:rsidR="007E3918" w:rsidRPr="00AE1556" w:rsidRDefault="007E3918" w:rsidP="007E3918">
      <w:pPr>
        <w:rPr>
          <w:rFonts w:ascii="Arial" w:hAnsi="Arial" w:cs="Arial"/>
        </w:rPr>
      </w:pPr>
    </w:p>
    <w:p w:rsidR="007E3918" w:rsidRPr="00AE1556" w:rsidRDefault="007E3918" w:rsidP="007E3918">
      <w:pPr>
        <w:rPr>
          <w:rFonts w:ascii="Arial" w:hAnsi="Arial" w:cs="Arial"/>
        </w:rPr>
      </w:pPr>
    </w:p>
    <w:p w:rsidR="007E3918" w:rsidRPr="00AE1556" w:rsidRDefault="007E3918" w:rsidP="007E3918">
      <w:pPr>
        <w:rPr>
          <w:rFonts w:ascii="Arial" w:hAnsi="Arial" w:cs="Arial"/>
        </w:rPr>
      </w:pPr>
    </w:p>
    <w:p w:rsidR="007E3918" w:rsidRPr="00AE1556" w:rsidRDefault="00FD650B" w:rsidP="009343FF">
      <w:pPr>
        <w:rPr>
          <w:rFonts w:ascii="Arial" w:hAnsi="Arial" w:cs="Arial"/>
        </w:rPr>
      </w:pPr>
      <w:r w:rsidRPr="00AE1556">
        <w:rPr>
          <w:rFonts w:ascii="Arial" w:hAnsi="Arial" w:cs="Arial"/>
        </w:rPr>
        <w:t xml:space="preserve"> </w:t>
      </w:r>
    </w:p>
    <w:p w:rsidR="007E3918" w:rsidRPr="00AE1556" w:rsidRDefault="007E3918" w:rsidP="007E3918">
      <w:pPr>
        <w:rPr>
          <w:rFonts w:ascii="Arial" w:hAnsi="Arial" w:cs="Arial"/>
        </w:rPr>
      </w:pPr>
    </w:p>
    <w:sectPr w:rsidR="007E3918" w:rsidRPr="00AE1556" w:rsidSect="003724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18" w:rsidRDefault="007E3918" w:rsidP="007E3918">
      <w:r>
        <w:separator/>
      </w:r>
    </w:p>
  </w:endnote>
  <w:endnote w:type="continuationSeparator" w:id="0">
    <w:p w:rsidR="007E3918" w:rsidRDefault="007E3918" w:rsidP="007E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BD" w:rsidRDefault="00AA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E34" w:rsidRPr="00AA28BD" w:rsidRDefault="00AA28BD">
    <w:pPr>
      <w:pStyle w:val="Footer"/>
      <w:rPr>
        <w:rFonts w:ascii="Arial" w:hAnsi="Arial" w:cs="Arial"/>
      </w:rPr>
    </w:pPr>
    <w:r w:rsidRPr="00AA28BD">
      <w:rPr>
        <w:rFonts w:ascii="Arial" w:hAnsi="Arial" w:cs="Arial"/>
      </w:rPr>
      <w:t>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BD" w:rsidRDefault="00AA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18" w:rsidRDefault="007E3918" w:rsidP="007E3918">
      <w:r>
        <w:separator/>
      </w:r>
    </w:p>
  </w:footnote>
  <w:footnote w:type="continuationSeparator" w:id="0">
    <w:p w:rsidR="007E3918" w:rsidRDefault="007E3918" w:rsidP="007E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BD" w:rsidRDefault="00AA2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BD" w:rsidRDefault="00AA2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BD" w:rsidRDefault="00AA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D39"/>
    <w:multiLevelType w:val="hybridMultilevel"/>
    <w:tmpl w:val="6E58A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D4434"/>
    <w:multiLevelType w:val="hybridMultilevel"/>
    <w:tmpl w:val="97EEEBFC"/>
    <w:lvl w:ilvl="0" w:tplc="1DCA50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B7853"/>
    <w:multiLevelType w:val="hybridMultilevel"/>
    <w:tmpl w:val="ECFE736A"/>
    <w:lvl w:ilvl="0" w:tplc="E5AA7230">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636A5C"/>
    <w:multiLevelType w:val="hybridMultilevel"/>
    <w:tmpl w:val="2CD8C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050327"/>
    <w:multiLevelType w:val="hybridMultilevel"/>
    <w:tmpl w:val="1BB42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FE7950"/>
    <w:multiLevelType w:val="hybridMultilevel"/>
    <w:tmpl w:val="729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CD"/>
    <w:rsid w:val="000345E6"/>
    <w:rsid w:val="000B4310"/>
    <w:rsid w:val="000F1FA1"/>
    <w:rsid w:val="00120003"/>
    <w:rsid w:val="001D60F3"/>
    <w:rsid w:val="00341008"/>
    <w:rsid w:val="003724BD"/>
    <w:rsid w:val="004000D7"/>
    <w:rsid w:val="00504E43"/>
    <w:rsid w:val="00506FD4"/>
    <w:rsid w:val="005363E2"/>
    <w:rsid w:val="00607683"/>
    <w:rsid w:val="006C4539"/>
    <w:rsid w:val="00767AA4"/>
    <w:rsid w:val="00784ECA"/>
    <w:rsid w:val="007908F4"/>
    <w:rsid w:val="007E3918"/>
    <w:rsid w:val="008A22C6"/>
    <w:rsid w:val="009343FF"/>
    <w:rsid w:val="009463CD"/>
    <w:rsid w:val="00AA28BD"/>
    <w:rsid w:val="00AE1556"/>
    <w:rsid w:val="00C07F80"/>
    <w:rsid w:val="00CF4BA9"/>
    <w:rsid w:val="00E7505F"/>
    <w:rsid w:val="00FD3A85"/>
    <w:rsid w:val="00FD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18"/>
    <w:rPr>
      <w:rFonts w:ascii="Times New Roman" w:eastAsia="Times New Roman" w:hAnsi="Times New Roman" w:cs="Times New Roman"/>
      <w:lang w:eastAsia="en-GB"/>
    </w:rPr>
  </w:style>
  <w:style w:type="paragraph" w:styleId="Heading1">
    <w:name w:val="heading 1"/>
    <w:basedOn w:val="Normal"/>
    <w:next w:val="Normal"/>
    <w:link w:val="Heading1Char"/>
    <w:qFormat/>
    <w:rsid w:val="007E3918"/>
    <w:pPr>
      <w:keepNext/>
      <w:outlineLvl w:val="0"/>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918"/>
    <w:rPr>
      <w:rFonts w:eastAsia="Times New Roman" w:cs="Times New Roman"/>
      <w:b/>
      <w:bCs/>
    </w:rPr>
  </w:style>
  <w:style w:type="paragraph" w:styleId="Footer">
    <w:name w:val="footer"/>
    <w:basedOn w:val="Normal"/>
    <w:link w:val="FooterChar"/>
    <w:rsid w:val="007E3918"/>
    <w:pPr>
      <w:tabs>
        <w:tab w:val="center" w:pos="4513"/>
        <w:tab w:val="right" w:pos="9026"/>
      </w:tabs>
    </w:pPr>
  </w:style>
  <w:style w:type="character" w:customStyle="1" w:styleId="FooterChar">
    <w:name w:val="Footer Char"/>
    <w:basedOn w:val="DefaultParagraphFont"/>
    <w:link w:val="Footer"/>
    <w:rsid w:val="007E3918"/>
    <w:rPr>
      <w:rFonts w:ascii="Times New Roman" w:eastAsia="Times New Roman" w:hAnsi="Times New Roman" w:cs="Times New Roman"/>
      <w:lang w:eastAsia="en-GB"/>
    </w:rPr>
  </w:style>
  <w:style w:type="paragraph" w:styleId="Header">
    <w:name w:val="header"/>
    <w:basedOn w:val="Normal"/>
    <w:link w:val="HeaderChar"/>
    <w:uiPriority w:val="99"/>
    <w:unhideWhenUsed/>
    <w:rsid w:val="007E3918"/>
    <w:pPr>
      <w:tabs>
        <w:tab w:val="center" w:pos="4513"/>
        <w:tab w:val="right" w:pos="9026"/>
      </w:tabs>
    </w:pPr>
  </w:style>
  <w:style w:type="character" w:customStyle="1" w:styleId="HeaderChar">
    <w:name w:val="Header Char"/>
    <w:basedOn w:val="DefaultParagraphFont"/>
    <w:link w:val="Header"/>
    <w:uiPriority w:val="99"/>
    <w:rsid w:val="007E3918"/>
    <w:rPr>
      <w:rFonts w:ascii="Times New Roman" w:eastAsia="Times New Roman" w:hAnsi="Times New Roman" w:cs="Times New Roman"/>
      <w:lang w:eastAsia="en-GB"/>
    </w:rPr>
  </w:style>
  <w:style w:type="paragraph" w:styleId="ListParagraph">
    <w:name w:val="List Paragraph"/>
    <w:basedOn w:val="Normal"/>
    <w:uiPriority w:val="34"/>
    <w:qFormat/>
    <w:rsid w:val="007E3918"/>
    <w:pPr>
      <w:ind w:left="720"/>
      <w:contextualSpacing/>
    </w:pPr>
  </w:style>
  <w:style w:type="paragraph" w:styleId="BalloonText">
    <w:name w:val="Balloon Text"/>
    <w:basedOn w:val="Normal"/>
    <w:link w:val="BalloonTextChar"/>
    <w:uiPriority w:val="99"/>
    <w:semiHidden/>
    <w:unhideWhenUsed/>
    <w:rsid w:val="00607683"/>
    <w:rPr>
      <w:rFonts w:ascii="Tahoma" w:hAnsi="Tahoma" w:cs="Tahoma"/>
      <w:sz w:val="16"/>
      <w:szCs w:val="16"/>
    </w:rPr>
  </w:style>
  <w:style w:type="character" w:customStyle="1" w:styleId="BalloonTextChar">
    <w:name w:val="Balloon Text Char"/>
    <w:basedOn w:val="DefaultParagraphFont"/>
    <w:link w:val="BalloonText"/>
    <w:uiPriority w:val="99"/>
    <w:semiHidden/>
    <w:rsid w:val="0060768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18"/>
    <w:rPr>
      <w:rFonts w:ascii="Times New Roman" w:eastAsia="Times New Roman" w:hAnsi="Times New Roman" w:cs="Times New Roman"/>
      <w:lang w:eastAsia="en-GB"/>
    </w:rPr>
  </w:style>
  <w:style w:type="paragraph" w:styleId="Heading1">
    <w:name w:val="heading 1"/>
    <w:basedOn w:val="Normal"/>
    <w:next w:val="Normal"/>
    <w:link w:val="Heading1Char"/>
    <w:qFormat/>
    <w:rsid w:val="007E3918"/>
    <w:pPr>
      <w:keepNext/>
      <w:outlineLvl w:val="0"/>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918"/>
    <w:rPr>
      <w:rFonts w:eastAsia="Times New Roman" w:cs="Times New Roman"/>
      <w:b/>
      <w:bCs/>
    </w:rPr>
  </w:style>
  <w:style w:type="paragraph" w:styleId="Footer">
    <w:name w:val="footer"/>
    <w:basedOn w:val="Normal"/>
    <w:link w:val="FooterChar"/>
    <w:rsid w:val="007E3918"/>
    <w:pPr>
      <w:tabs>
        <w:tab w:val="center" w:pos="4513"/>
        <w:tab w:val="right" w:pos="9026"/>
      </w:tabs>
    </w:pPr>
  </w:style>
  <w:style w:type="character" w:customStyle="1" w:styleId="FooterChar">
    <w:name w:val="Footer Char"/>
    <w:basedOn w:val="DefaultParagraphFont"/>
    <w:link w:val="Footer"/>
    <w:rsid w:val="007E3918"/>
    <w:rPr>
      <w:rFonts w:ascii="Times New Roman" w:eastAsia="Times New Roman" w:hAnsi="Times New Roman" w:cs="Times New Roman"/>
      <w:lang w:eastAsia="en-GB"/>
    </w:rPr>
  </w:style>
  <w:style w:type="paragraph" w:styleId="Header">
    <w:name w:val="header"/>
    <w:basedOn w:val="Normal"/>
    <w:link w:val="HeaderChar"/>
    <w:uiPriority w:val="99"/>
    <w:unhideWhenUsed/>
    <w:rsid w:val="007E3918"/>
    <w:pPr>
      <w:tabs>
        <w:tab w:val="center" w:pos="4513"/>
        <w:tab w:val="right" w:pos="9026"/>
      </w:tabs>
    </w:pPr>
  </w:style>
  <w:style w:type="character" w:customStyle="1" w:styleId="HeaderChar">
    <w:name w:val="Header Char"/>
    <w:basedOn w:val="DefaultParagraphFont"/>
    <w:link w:val="Header"/>
    <w:uiPriority w:val="99"/>
    <w:rsid w:val="007E3918"/>
    <w:rPr>
      <w:rFonts w:ascii="Times New Roman" w:eastAsia="Times New Roman" w:hAnsi="Times New Roman" w:cs="Times New Roman"/>
      <w:lang w:eastAsia="en-GB"/>
    </w:rPr>
  </w:style>
  <w:style w:type="paragraph" w:styleId="ListParagraph">
    <w:name w:val="List Paragraph"/>
    <w:basedOn w:val="Normal"/>
    <w:uiPriority w:val="34"/>
    <w:qFormat/>
    <w:rsid w:val="007E3918"/>
    <w:pPr>
      <w:ind w:left="720"/>
      <w:contextualSpacing/>
    </w:pPr>
  </w:style>
  <w:style w:type="paragraph" w:styleId="BalloonText">
    <w:name w:val="Balloon Text"/>
    <w:basedOn w:val="Normal"/>
    <w:link w:val="BalloonTextChar"/>
    <w:uiPriority w:val="99"/>
    <w:semiHidden/>
    <w:unhideWhenUsed/>
    <w:rsid w:val="00607683"/>
    <w:rPr>
      <w:rFonts w:ascii="Tahoma" w:hAnsi="Tahoma" w:cs="Tahoma"/>
      <w:sz w:val="16"/>
      <w:szCs w:val="16"/>
    </w:rPr>
  </w:style>
  <w:style w:type="character" w:customStyle="1" w:styleId="BalloonTextChar">
    <w:name w:val="Balloon Text Char"/>
    <w:basedOn w:val="DefaultParagraphFont"/>
    <w:link w:val="BalloonText"/>
    <w:uiPriority w:val="99"/>
    <w:semiHidden/>
    <w:rsid w:val="0060768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ED95-E4EF-41E5-B636-8EC12103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27ADD6C5</Template>
  <TotalTime>9</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Tom.Porter</dc:creator>
  <cp:lastModifiedBy>abrown2</cp:lastModifiedBy>
  <cp:revision>5</cp:revision>
  <cp:lastPrinted>2016-03-03T16:09:00Z</cp:lastPrinted>
  <dcterms:created xsi:type="dcterms:W3CDTF">2016-03-03T16:55:00Z</dcterms:created>
  <dcterms:modified xsi:type="dcterms:W3CDTF">2016-03-04T10:24:00Z</dcterms:modified>
</cp:coreProperties>
</file>